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0402F62" w14:textId="43292C27" w:rsidR="007C636F" w:rsidRPr="006B2E27" w:rsidRDefault="007C636F" w:rsidP="00920E2F">
      <w:pPr>
        <w:spacing w:line="360" w:lineRule="auto"/>
        <w:jc w:val="center"/>
        <w:rPr>
          <w:rFonts w:ascii="Arial" w:hAnsi="Arial" w:cs="Arial"/>
        </w:rPr>
      </w:pPr>
      <w:bookmarkStart w:id="0" w:name="_GoBack"/>
      <w:bookmarkEnd w:id="0"/>
      <w:r w:rsidRPr="006B2E27">
        <w:rPr>
          <w:rFonts w:ascii="Arial" w:hAnsi="Arial" w:cs="Arial"/>
        </w:rPr>
        <w:t>Introduction</w:t>
      </w:r>
    </w:p>
    <w:p w14:paraId="05B60A09" w14:textId="0BAD82C1" w:rsidR="009B58C5" w:rsidRPr="005E4C8C" w:rsidRDefault="00FD1CAC" w:rsidP="000B7A0A">
      <w:pPr>
        <w:spacing w:line="360" w:lineRule="auto"/>
        <w:jc w:val="both"/>
        <w:rPr>
          <w:rFonts w:asciiTheme="minorBidi" w:hAnsiTheme="minorBidi"/>
        </w:rPr>
      </w:pPr>
      <w:r w:rsidRPr="005E4C8C">
        <w:rPr>
          <w:rFonts w:asciiTheme="minorBidi" w:hAnsiTheme="minorBidi"/>
        </w:rPr>
        <w:t>C</w:t>
      </w:r>
      <w:r w:rsidR="007C636F" w:rsidRPr="005E4C8C">
        <w:rPr>
          <w:rFonts w:asciiTheme="minorBidi" w:hAnsiTheme="minorBidi"/>
        </w:rPr>
        <w:t>entral bank</w:t>
      </w:r>
      <w:r w:rsidRPr="005E4C8C">
        <w:rPr>
          <w:rFonts w:asciiTheme="minorBidi" w:hAnsiTheme="minorBidi"/>
        </w:rPr>
        <w:t>s</w:t>
      </w:r>
      <w:r w:rsidR="007C636F" w:rsidRPr="005E4C8C">
        <w:rPr>
          <w:rFonts w:asciiTheme="minorBidi" w:hAnsiTheme="minorBidi"/>
        </w:rPr>
        <w:t xml:space="preserve"> </w:t>
      </w:r>
      <w:r w:rsidRPr="005E4C8C">
        <w:rPr>
          <w:rFonts w:asciiTheme="minorBidi" w:hAnsiTheme="minorBidi"/>
        </w:rPr>
        <w:t xml:space="preserve">leverage risk of their asset portfolio by holding international </w:t>
      </w:r>
      <w:r w:rsidR="00BA169B">
        <w:rPr>
          <w:rFonts w:asciiTheme="minorBidi" w:hAnsiTheme="minorBidi"/>
        </w:rPr>
        <w:t>assets</w:t>
      </w:r>
      <w:r w:rsidRPr="005E4C8C">
        <w:rPr>
          <w:rFonts w:asciiTheme="minorBidi" w:hAnsiTheme="minorBidi"/>
        </w:rPr>
        <w:t>, the largest component of which is international currency. It accounted for 83 percent of total reserves held by central banks, at the end of 2020. According to IMF</w:t>
      </w:r>
      <w:r w:rsidR="000E32D5" w:rsidRPr="005E4C8C">
        <w:rPr>
          <w:rStyle w:val="FootnoteReference"/>
          <w:rFonts w:asciiTheme="minorBidi" w:hAnsiTheme="minorBidi"/>
        </w:rPr>
        <w:footnoteReference w:id="1"/>
      </w:r>
      <w:r w:rsidRPr="005E4C8C">
        <w:rPr>
          <w:rFonts w:asciiTheme="minorBidi" w:hAnsiTheme="minorBidi"/>
        </w:rPr>
        <w:t xml:space="preserve"> estimates, developing economies account for 3/5</w:t>
      </w:r>
      <w:r w:rsidRPr="005E4C8C">
        <w:rPr>
          <w:rFonts w:asciiTheme="minorBidi" w:hAnsiTheme="minorBidi"/>
          <w:vertAlign w:val="superscript"/>
        </w:rPr>
        <w:t>th</w:t>
      </w:r>
      <w:r w:rsidRPr="005E4C8C">
        <w:rPr>
          <w:rFonts w:asciiTheme="minorBidi" w:hAnsiTheme="minorBidi"/>
        </w:rPr>
        <w:t xml:space="preserve"> of the total international currency reserves.</w:t>
      </w:r>
      <w:r w:rsidR="000E32D5" w:rsidRPr="005E4C8C">
        <w:rPr>
          <w:rFonts w:asciiTheme="minorBidi" w:hAnsiTheme="minorBidi"/>
        </w:rPr>
        <w:t xml:space="preserve"> </w:t>
      </w:r>
    </w:p>
    <w:p w14:paraId="211CB6BC" w14:textId="20A448CD" w:rsidR="009B58C5" w:rsidRPr="00B233AB" w:rsidRDefault="000E32D5" w:rsidP="000B7A0A">
      <w:pPr>
        <w:spacing w:line="360" w:lineRule="auto"/>
        <w:jc w:val="both"/>
        <w:rPr>
          <w:rFonts w:asciiTheme="minorBidi" w:hAnsiTheme="minorBidi"/>
        </w:rPr>
      </w:pPr>
      <w:r w:rsidRPr="005E4C8C">
        <w:rPr>
          <w:rFonts w:asciiTheme="minorBidi" w:hAnsiTheme="minorBidi"/>
        </w:rPr>
        <w:t>While Indian rupee has been devaluing against the dollar steadily, the foreign currency assets continue to grow.</w:t>
      </w:r>
      <w:r w:rsidR="009B58C5" w:rsidRPr="005E4C8C">
        <w:rPr>
          <w:rFonts w:asciiTheme="minorBidi" w:hAnsiTheme="minorBidi"/>
        </w:rPr>
        <w:t xml:space="preserve"> </w:t>
      </w:r>
      <w:r w:rsidRPr="005E4C8C">
        <w:rPr>
          <w:rFonts w:asciiTheme="minorBidi" w:hAnsiTheme="minorBidi"/>
        </w:rPr>
        <w:t>Th</w:t>
      </w:r>
      <w:r w:rsidR="00DB4D32" w:rsidRPr="005E4C8C">
        <w:rPr>
          <w:rFonts w:asciiTheme="minorBidi" w:hAnsiTheme="minorBidi"/>
        </w:rPr>
        <w:t>e</w:t>
      </w:r>
      <w:r w:rsidRPr="005E4C8C">
        <w:rPr>
          <w:rFonts w:asciiTheme="minorBidi" w:hAnsiTheme="minorBidi"/>
        </w:rPr>
        <w:t xml:space="preserve"> devaluation of the Indian rupee and its dependence o</w:t>
      </w:r>
      <w:r w:rsidR="00DB4D32" w:rsidRPr="005E4C8C">
        <w:rPr>
          <w:rFonts w:asciiTheme="minorBidi" w:hAnsiTheme="minorBidi"/>
        </w:rPr>
        <w:t>n</w:t>
      </w:r>
      <w:r w:rsidRPr="005E4C8C">
        <w:rPr>
          <w:rFonts w:asciiTheme="minorBidi" w:hAnsiTheme="minorBidi"/>
        </w:rPr>
        <w:t xml:space="preserve"> imported crude oil, which contribute</w:t>
      </w:r>
      <w:r w:rsidR="00DB4D32" w:rsidRPr="005E4C8C">
        <w:rPr>
          <w:rFonts w:asciiTheme="minorBidi" w:hAnsiTheme="minorBidi"/>
        </w:rPr>
        <w:t xml:space="preserve">d </w:t>
      </w:r>
      <w:r w:rsidRPr="005E4C8C">
        <w:rPr>
          <w:rFonts w:asciiTheme="minorBidi" w:hAnsiTheme="minorBidi"/>
        </w:rPr>
        <w:t>to 19% of India’s total imports in 2020-21</w:t>
      </w:r>
      <w:r w:rsidRPr="005E4C8C">
        <w:rPr>
          <w:rStyle w:val="FootnoteReference"/>
          <w:rFonts w:asciiTheme="minorBidi" w:hAnsiTheme="minorBidi"/>
        </w:rPr>
        <w:footnoteReference w:id="2"/>
      </w:r>
      <w:r w:rsidR="00DB4D32" w:rsidRPr="005E4C8C">
        <w:rPr>
          <w:rFonts w:asciiTheme="minorBidi" w:hAnsiTheme="minorBidi"/>
        </w:rPr>
        <w:t>, makes the effects of crude oil price and value of rupee on India</w:t>
      </w:r>
      <w:r w:rsidR="00BA169B">
        <w:rPr>
          <w:rFonts w:asciiTheme="minorBidi" w:hAnsiTheme="minorBidi"/>
        </w:rPr>
        <w:t>’s</w:t>
      </w:r>
      <w:r w:rsidR="00DB4D32" w:rsidRPr="005E4C8C">
        <w:rPr>
          <w:rFonts w:asciiTheme="minorBidi" w:hAnsiTheme="minorBidi"/>
        </w:rPr>
        <w:t xml:space="preserve"> holding of foreign currency assets interesting to be examined. This report aims to examine and quantify this relationship using time series analysis of </w:t>
      </w:r>
      <w:r w:rsidR="009B58C5" w:rsidRPr="005E4C8C">
        <w:rPr>
          <w:rFonts w:asciiTheme="minorBidi" w:hAnsiTheme="minorBidi"/>
        </w:rPr>
        <w:t>Foreign currency assets held by India, price of crude oil, and the value of rupee</w:t>
      </w:r>
      <w:r w:rsidR="00BA169B">
        <w:rPr>
          <w:rFonts w:asciiTheme="minorBidi" w:hAnsiTheme="minorBidi"/>
        </w:rPr>
        <w:t>,</w:t>
      </w:r>
      <w:r w:rsidR="00DB4D32" w:rsidRPr="005E4C8C">
        <w:rPr>
          <w:rFonts w:asciiTheme="minorBidi" w:hAnsiTheme="minorBidi"/>
        </w:rPr>
        <w:t xml:space="preserve"> by programming in </w:t>
      </w:r>
      <w:r w:rsidR="00BA169B">
        <w:rPr>
          <w:rFonts w:asciiTheme="minorBidi" w:hAnsiTheme="minorBidi"/>
        </w:rPr>
        <w:t>R</w:t>
      </w:r>
      <w:r w:rsidR="00DB4D32" w:rsidRPr="005E4C8C">
        <w:rPr>
          <w:rFonts w:asciiTheme="minorBidi" w:hAnsiTheme="minorBidi"/>
        </w:rPr>
        <w:t xml:space="preserve">. </w:t>
      </w:r>
      <w:r w:rsidR="009B58C5" w:rsidRPr="005E4C8C">
        <w:rPr>
          <w:rFonts w:asciiTheme="minorBidi" w:hAnsiTheme="minorBidi"/>
        </w:rPr>
        <w:t>The data on these variables is collected from 3 different sou</w:t>
      </w:r>
      <w:r w:rsidR="00276401" w:rsidRPr="005E4C8C">
        <w:rPr>
          <w:rFonts w:asciiTheme="minorBidi" w:hAnsiTheme="minorBidi"/>
        </w:rPr>
        <w:t>r</w:t>
      </w:r>
      <w:r w:rsidR="009B58C5" w:rsidRPr="005E4C8C">
        <w:rPr>
          <w:rFonts w:asciiTheme="minorBidi" w:hAnsiTheme="minorBidi"/>
        </w:rPr>
        <w:t>ces, which is summarised in the table below:</w:t>
      </w:r>
    </w:p>
    <w:p w14:paraId="187CAE82" w14:textId="7985C752" w:rsidR="00B233AB" w:rsidRDefault="00B233AB" w:rsidP="000B7A0A">
      <w:pPr>
        <w:pStyle w:val="Caption"/>
        <w:keepNext/>
        <w:jc w:val="both"/>
      </w:pPr>
      <w:r>
        <w:t xml:space="preserve">Table </w:t>
      </w:r>
      <w:fldSimple w:instr=" SEQ Table \* ARABIC ">
        <w:r w:rsidR="00BC30D3">
          <w:rPr>
            <w:noProof/>
          </w:rPr>
          <w:t>1</w:t>
        </w:r>
      </w:fldSimple>
      <w:r>
        <w:t>: Variable and Data Description</w:t>
      </w:r>
    </w:p>
    <w:tbl>
      <w:tblPr>
        <w:tblStyle w:val="TableGrid"/>
        <w:tblW w:w="0" w:type="auto"/>
        <w:tblLook w:val="04A0" w:firstRow="1" w:lastRow="0" w:firstColumn="1" w:lastColumn="0" w:noHBand="0" w:noVBand="1"/>
      </w:tblPr>
      <w:tblGrid>
        <w:gridCol w:w="1284"/>
        <w:gridCol w:w="5374"/>
        <w:gridCol w:w="2352"/>
      </w:tblGrid>
      <w:tr w:rsidR="00276401" w14:paraId="58D34A50" w14:textId="77777777" w:rsidTr="00276401">
        <w:tc>
          <w:tcPr>
            <w:tcW w:w="1284" w:type="dxa"/>
          </w:tcPr>
          <w:p w14:paraId="740DC625" w14:textId="73972F14" w:rsidR="00276401" w:rsidRPr="00276401" w:rsidRDefault="00276401" w:rsidP="000B7A0A">
            <w:pPr>
              <w:jc w:val="both"/>
              <w:rPr>
                <w:b/>
                <w:bCs/>
              </w:rPr>
            </w:pPr>
            <w:r w:rsidRPr="00276401">
              <w:rPr>
                <w:b/>
                <w:bCs/>
              </w:rPr>
              <w:t>Variable</w:t>
            </w:r>
          </w:p>
        </w:tc>
        <w:tc>
          <w:tcPr>
            <w:tcW w:w="5374" w:type="dxa"/>
          </w:tcPr>
          <w:p w14:paraId="4F7779B8" w14:textId="31BC5667" w:rsidR="00276401" w:rsidRPr="00276401" w:rsidRDefault="003770E2" w:rsidP="000B7A0A">
            <w:pPr>
              <w:jc w:val="both"/>
              <w:rPr>
                <w:b/>
                <w:bCs/>
              </w:rPr>
            </w:pPr>
            <w:r>
              <w:rPr>
                <w:b/>
                <w:bCs/>
              </w:rPr>
              <w:t>Dataset</w:t>
            </w:r>
            <w:r w:rsidR="00276401" w:rsidRPr="00276401">
              <w:rPr>
                <w:b/>
                <w:bCs/>
              </w:rPr>
              <w:t xml:space="preserve"> Description </w:t>
            </w:r>
          </w:p>
        </w:tc>
        <w:tc>
          <w:tcPr>
            <w:tcW w:w="2352" w:type="dxa"/>
          </w:tcPr>
          <w:p w14:paraId="3585607C" w14:textId="4F868254" w:rsidR="00276401" w:rsidRPr="00276401" w:rsidRDefault="00276401" w:rsidP="000B7A0A">
            <w:pPr>
              <w:jc w:val="both"/>
              <w:rPr>
                <w:b/>
                <w:bCs/>
              </w:rPr>
            </w:pPr>
            <w:r w:rsidRPr="00276401">
              <w:rPr>
                <w:b/>
                <w:bCs/>
              </w:rPr>
              <w:t>Source</w:t>
            </w:r>
          </w:p>
        </w:tc>
      </w:tr>
      <w:tr w:rsidR="00276401" w14:paraId="2B21B984" w14:textId="77777777" w:rsidTr="00276401">
        <w:tc>
          <w:tcPr>
            <w:tcW w:w="1284" w:type="dxa"/>
          </w:tcPr>
          <w:p w14:paraId="3CD6D407" w14:textId="0E288C9A" w:rsidR="00276401" w:rsidRPr="00276401" w:rsidRDefault="00276401" w:rsidP="000B7A0A">
            <w:pPr>
              <w:jc w:val="both"/>
              <w:rPr>
                <w:rFonts w:asciiTheme="minorBidi" w:hAnsiTheme="minorBidi"/>
              </w:rPr>
            </w:pPr>
            <w:r w:rsidRPr="00276401">
              <w:rPr>
                <w:rFonts w:asciiTheme="minorBidi" w:hAnsiTheme="minorBidi"/>
              </w:rPr>
              <w:t xml:space="preserve">Foreign </w:t>
            </w:r>
            <w:r w:rsidR="003770E2">
              <w:rPr>
                <w:rFonts w:asciiTheme="minorBidi" w:hAnsiTheme="minorBidi"/>
              </w:rPr>
              <w:t>Currency Assets in USD</w:t>
            </w:r>
            <w:r w:rsidRPr="00276401">
              <w:rPr>
                <w:rFonts w:asciiTheme="minorBidi" w:hAnsiTheme="minorBidi"/>
              </w:rPr>
              <w:t xml:space="preserve"> </w:t>
            </w:r>
            <w:r w:rsidR="003770E2">
              <w:rPr>
                <w:rFonts w:asciiTheme="minorBidi" w:hAnsiTheme="minorBidi"/>
              </w:rPr>
              <w:t>Million</w:t>
            </w:r>
          </w:p>
        </w:tc>
        <w:tc>
          <w:tcPr>
            <w:tcW w:w="5374" w:type="dxa"/>
          </w:tcPr>
          <w:p w14:paraId="5821A498" w14:textId="04D030F9" w:rsidR="00276401" w:rsidRDefault="00276401" w:rsidP="000B7A0A">
            <w:pPr>
              <w:jc w:val="both"/>
            </w:pPr>
            <w:r>
              <w:t>Weekly Foreign exchange reserves (every Friday) from 2001</w:t>
            </w:r>
            <w:r w:rsidR="00985108">
              <w:t>-</w:t>
            </w:r>
            <w:r>
              <w:t>04</w:t>
            </w:r>
            <w:r w:rsidR="00985108">
              <w:t>-</w:t>
            </w:r>
            <w:r>
              <w:t>06 to 2022</w:t>
            </w:r>
            <w:r w:rsidR="00985108">
              <w:t>-</w:t>
            </w:r>
            <w:r>
              <w:t>11</w:t>
            </w:r>
            <w:r w:rsidR="00985108">
              <w:t>-</w:t>
            </w:r>
            <w:r>
              <w:t xml:space="preserve">28. </w:t>
            </w:r>
          </w:p>
          <w:p w14:paraId="1890D8C7" w14:textId="77777777" w:rsidR="00276401" w:rsidRDefault="00276401" w:rsidP="000B7A0A">
            <w:pPr>
              <w:jc w:val="both"/>
            </w:pPr>
          </w:p>
        </w:tc>
        <w:tc>
          <w:tcPr>
            <w:tcW w:w="2352" w:type="dxa"/>
          </w:tcPr>
          <w:p w14:paraId="07D901AB" w14:textId="4B80017B" w:rsidR="00276401" w:rsidRDefault="00276401" w:rsidP="000B7A0A">
            <w:pPr>
              <w:jc w:val="both"/>
            </w:pPr>
            <w:r>
              <w:t>Reserve Bank of India</w:t>
            </w:r>
            <w:r w:rsidR="00985108">
              <w:rPr>
                <w:rStyle w:val="FootnoteReference"/>
              </w:rPr>
              <w:footnoteReference w:id="3"/>
            </w:r>
          </w:p>
        </w:tc>
      </w:tr>
      <w:tr w:rsidR="00276401" w14:paraId="31472785" w14:textId="77777777" w:rsidTr="00276401">
        <w:tc>
          <w:tcPr>
            <w:tcW w:w="1284" w:type="dxa"/>
          </w:tcPr>
          <w:p w14:paraId="47D6BFDD" w14:textId="7BC646A3" w:rsidR="00276401" w:rsidRDefault="00985108" w:rsidP="000B7A0A">
            <w:pPr>
              <w:jc w:val="both"/>
            </w:pPr>
            <w:r>
              <w:t>USD to INR Exchange Rates</w:t>
            </w:r>
          </w:p>
        </w:tc>
        <w:tc>
          <w:tcPr>
            <w:tcW w:w="5374" w:type="dxa"/>
          </w:tcPr>
          <w:p w14:paraId="148B62FF" w14:textId="0A5E0709" w:rsidR="00276401" w:rsidRDefault="00985108" w:rsidP="000B7A0A">
            <w:pPr>
              <w:jc w:val="both"/>
            </w:pPr>
            <w:r>
              <w:t>Daily Exchange rates USD to INR (excluding Saturday’s and Sundays) from 20-04-06 to 2022-11-28</w:t>
            </w:r>
          </w:p>
        </w:tc>
        <w:tc>
          <w:tcPr>
            <w:tcW w:w="2352" w:type="dxa"/>
          </w:tcPr>
          <w:p w14:paraId="42617EB8" w14:textId="43BCA32B" w:rsidR="00276401" w:rsidRDefault="00985108" w:rsidP="000B7A0A">
            <w:pPr>
              <w:jc w:val="both"/>
            </w:pPr>
            <w:r>
              <w:t>Federal Reserve</w:t>
            </w:r>
            <w:r w:rsidR="00187763">
              <w:rPr>
                <w:rStyle w:val="FootnoteReference"/>
              </w:rPr>
              <w:footnoteReference w:id="4"/>
            </w:r>
          </w:p>
        </w:tc>
      </w:tr>
      <w:tr w:rsidR="00276401" w14:paraId="3A9BBE97" w14:textId="77777777" w:rsidTr="00276401">
        <w:tc>
          <w:tcPr>
            <w:tcW w:w="1284" w:type="dxa"/>
          </w:tcPr>
          <w:p w14:paraId="11C3E885" w14:textId="55E46B68" w:rsidR="00276401" w:rsidRDefault="00985108" w:rsidP="000B7A0A">
            <w:pPr>
              <w:jc w:val="both"/>
            </w:pPr>
            <w:r>
              <w:t>Weekly Oil Price</w:t>
            </w:r>
          </w:p>
        </w:tc>
        <w:tc>
          <w:tcPr>
            <w:tcW w:w="5374" w:type="dxa"/>
          </w:tcPr>
          <w:p w14:paraId="23BBE992" w14:textId="678D2B8A" w:rsidR="00276401" w:rsidRDefault="00985108" w:rsidP="000B7A0A">
            <w:pPr>
              <w:jc w:val="both"/>
            </w:pPr>
            <w:r>
              <w:t>Weekly oil price every Friday from 1987-05-15 to 2022-11-04</w:t>
            </w:r>
          </w:p>
        </w:tc>
        <w:tc>
          <w:tcPr>
            <w:tcW w:w="2352" w:type="dxa"/>
          </w:tcPr>
          <w:p w14:paraId="7AFC42CD" w14:textId="601A1133" w:rsidR="00276401" w:rsidRDefault="00985108" w:rsidP="000B7A0A">
            <w:pPr>
              <w:jc w:val="both"/>
            </w:pPr>
            <w:r>
              <w:t>Datahub</w:t>
            </w:r>
            <w:r w:rsidR="00187763">
              <w:rPr>
                <w:rStyle w:val="FootnoteReference"/>
              </w:rPr>
              <w:footnoteReference w:id="5"/>
            </w:r>
          </w:p>
        </w:tc>
      </w:tr>
    </w:tbl>
    <w:p w14:paraId="63A19373" w14:textId="2DCC391B" w:rsidR="00B42AE3" w:rsidRPr="008718CE" w:rsidRDefault="00B42AE3" w:rsidP="000B7A0A">
      <w:pPr>
        <w:jc w:val="both"/>
        <w:rPr>
          <w:i/>
          <w:iCs/>
        </w:rPr>
      </w:pPr>
      <w:r w:rsidRPr="008718CE">
        <w:rPr>
          <w:i/>
          <w:iCs/>
        </w:rPr>
        <w:t>Behaviour of variable</w:t>
      </w:r>
      <w:r w:rsidR="005E4C8C">
        <w:rPr>
          <w:i/>
          <w:iCs/>
        </w:rPr>
        <w:t>s</w:t>
      </w:r>
      <w:r w:rsidR="008718CE">
        <w:rPr>
          <w:i/>
          <w:iCs/>
        </w:rPr>
        <w:t>:</w:t>
      </w:r>
    </w:p>
    <w:p w14:paraId="64D1633E" w14:textId="243CFDEC" w:rsidR="00B42AE3" w:rsidRDefault="00B42AE3" w:rsidP="000B7A0A">
      <w:pPr>
        <w:jc w:val="center"/>
      </w:pPr>
      <w:r w:rsidRPr="00B42AE3">
        <w:rPr>
          <w:noProof/>
        </w:rPr>
        <w:lastRenderedPageBreak/>
        <w:drawing>
          <wp:inline distT="0" distB="0" distL="0" distR="0" wp14:anchorId="2D823D6E" wp14:editId="1F6E3B90">
            <wp:extent cx="3314273" cy="2153285"/>
            <wp:effectExtent l="0" t="0" r="635"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445238" cy="2238373"/>
                    </a:xfrm>
                    <a:prstGeom prst="rect">
                      <a:avLst/>
                    </a:prstGeom>
                  </pic:spPr>
                </pic:pic>
              </a:graphicData>
            </a:graphic>
          </wp:inline>
        </w:drawing>
      </w:r>
    </w:p>
    <w:p w14:paraId="22216E27" w14:textId="4A95D95F" w:rsidR="00B42AE3" w:rsidRDefault="00031118" w:rsidP="000B7A0A">
      <w:pPr>
        <w:jc w:val="both"/>
      </w:pPr>
      <w:r>
        <w:t>Crude oil prices look volatile. There is a stark drop in prices during the 2008 financial crisis time, during the 2014 oil production boom in the USA and again in 2020 pandemic</w:t>
      </w:r>
    </w:p>
    <w:p w14:paraId="40328F02" w14:textId="649414D6" w:rsidR="00B42AE3" w:rsidRDefault="008718CE" w:rsidP="000B7A0A">
      <w:pPr>
        <w:jc w:val="center"/>
      </w:pPr>
      <w:r w:rsidRPr="008718CE">
        <w:rPr>
          <w:noProof/>
        </w:rPr>
        <w:drawing>
          <wp:inline distT="0" distB="0" distL="0" distR="0" wp14:anchorId="45A06696" wp14:editId="3229836A">
            <wp:extent cx="3486978" cy="2524243"/>
            <wp:effectExtent l="0" t="0" r="5715"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495209" cy="2530202"/>
                    </a:xfrm>
                    <a:prstGeom prst="rect">
                      <a:avLst/>
                    </a:prstGeom>
                  </pic:spPr>
                </pic:pic>
              </a:graphicData>
            </a:graphic>
          </wp:inline>
        </w:drawing>
      </w:r>
    </w:p>
    <w:p w14:paraId="1894EC08" w14:textId="47EDA4AB" w:rsidR="00031118" w:rsidRDefault="00031118" w:rsidP="000B7A0A">
      <w:pPr>
        <w:jc w:val="both"/>
      </w:pPr>
      <w:r>
        <w:t>The Foreign Exchange reserves seem to grow steadily over the years as it is a pool of many different currencies. However, there is sharp decline around 2008 and 2020</w:t>
      </w:r>
      <w:r w:rsidR="008718CE">
        <w:t>.</w:t>
      </w:r>
    </w:p>
    <w:p w14:paraId="4D34B3F8" w14:textId="5ECCB996" w:rsidR="00B42AE3" w:rsidRDefault="008718CE" w:rsidP="000B7A0A">
      <w:pPr>
        <w:jc w:val="center"/>
      </w:pPr>
      <w:r w:rsidRPr="008718CE">
        <w:rPr>
          <w:noProof/>
        </w:rPr>
        <w:drawing>
          <wp:inline distT="0" distB="0" distL="0" distR="0" wp14:anchorId="45E2EF04" wp14:editId="3C501406">
            <wp:extent cx="3734524" cy="2703444"/>
            <wp:effectExtent l="0" t="0" r="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746933" cy="2712427"/>
                    </a:xfrm>
                    <a:prstGeom prst="rect">
                      <a:avLst/>
                    </a:prstGeom>
                  </pic:spPr>
                </pic:pic>
              </a:graphicData>
            </a:graphic>
          </wp:inline>
        </w:drawing>
      </w:r>
    </w:p>
    <w:p w14:paraId="6EF89491" w14:textId="77A6D528" w:rsidR="008718CE" w:rsidRDefault="008718CE" w:rsidP="000B7A0A">
      <w:pPr>
        <w:jc w:val="both"/>
      </w:pPr>
      <w:r>
        <w:t>The rate of Indian rupee compared to USD is highly volatile.</w:t>
      </w:r>
    </w:p>
    <w:p w14:paraId="4ED30A93" w14:textId="2F3589EC" w:rsidR="00E56578" w:rsidRDefault="008718CE" w:rsidP="000B7A0A">
      <w:pPr>
        <w:jc w:val="both"/>
      </w:pPr>
      <w:r>
        <w:t xml:space="preserve">In order to perform time series regression analysis, the </w:t>
      </w:r>
      <w:r w:rsidR="001A23AE">
        <w:t xml:space="preserve">series must be stationary. The linear regression model makes assumption of the behaviour of the variables that the expectation of </w:t>
      </w:r>
      <w:r w:rsidR="001A23AE">
        <w:lastRenderedPageBreak/>
        <w:t>the errors is 0 and the errors have a constant variance.</w:t>
      </w:r>
      <w:r w:rsidR="00E56578">
        <w:t xml:space="preserve"> Observing the behaviour or the errors in the series:</w:t>
      </w:r>
    </w:p>
    <w:p w14:paraId="4D36C7F2" w14:textId="2C7571D4" w:rsidR="00E56578" w:rsidRDefault="00E56578" w:rsidP="000B7A0A">
      <w:pPr>
        <w:jc w:val="both"/>
      </w:pPr>
      <w:r w:rsidRPr="00E56578">
        <w:rPr>
          <w:noProof/>
        </w:rPr>
        <w:drawing>
          <wp:inline distT="0" distB="0" distL="0" distR="0" wp14:anchorId="17A2F6F8" wp14:editId="24A33418">
            <wp:extent cx="1842052" cy="1258187"/>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869052" cy="1276629"/>
                    </a:xfrm>
                    <a:prstGeom prst="rect">
                      <a:avLst/>
                    </a:prstGeom>
                  </pic:spPr>
                </pic:pic>
              </a:graphicData>
            </a:graphic>
          </wp:inline>
        </w:drawing>
      </w:r>
      <w:r w:rsidRPr="00E56578">
        <w:rPr>
          <w:noProof/>
        </w:rPr>
        <w:drawing>
          <wp:inline distT="0" distB="0" distL="0" distR="0" wp14:anchorId="0F4227D6" wp14:editId="7CDD157E">
            <wp:extent cx="1905275" cy="1257328"/>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958192" cy="1292249"/>
                    </a:xfrm>
                    <a:prstGeom prst="rect">
                      <a:avLst/>
                    </a:prstGeom>
                  </pic:spPr>
                </pic:pic>
              </a:graphicData>
            </a:graphic>
          </wp:inline>
        </w:drawing>
      </w:r>
      <w:r w:rsidRPr="00E56578">
        <w:rPr>
          <w:noProof/>
        </w:rPr>
        <w:drawing>
          <wp:inline distT="0" distB="0" distL="0" distR="0" wp14:anchorId="2851F064" wp14:editId="4A86B25D">
            <wp:extent cx="1937385" cy="1204292"/>
            <wp:effectExtent l="0" t="0" r="5715"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4992"/>
                    <a:stretch/>
                  </pic:blipFill>
                  <pic:spPr bwMode="auto">
                    <a:xfrm>
                      <a:off x="0" y="0"/>
                      <a:ext cx="2064822" cy="1283508"/>
                    </a:xfrm>
                    <a:prstGeom prst="rect">
                      <a:avLst/>
                    </a:prstGeom>
                    <a:ln>
                      <a:noFill/>
                    </a:ln>
                    <a:extLst>
                      <a:ext uri="{53640926-AAD7-44D8-BBD7-CCE9431645EC}">
                        <a14:shadowObscured xmlns:a14="http://schemas.microsoft.com/office/drawing/2010/main"/>
                      </a:ext>
                    </a:extLst>
                  </pic:spPr>
                </pic:pic>
              </a:graphicData>
            </a:graphic>
          </wp:inline>
        </w:drawing>
      </w:r>
    </w:p>
    <w:p w14:paraId="309C95E7" w14:textId="0648C48C" w:rsidR="00E56578" w:rsidRDefault="00E56578" w:rsidP="000B7A0A">
      <w:pPr>
        <w:jc w:val="both"/>
      </w:pPr>
    </w:p>
    <w:p w14:paraId="30A8E57C" w14:textId="395B0B31" w:rsidR="00E56578" w:rsidRDefault="00E56578" w:rsidP="000B7A0A">
      <w:pPr>
        <w:jc w:val="both"/>
      </w:pPr>
      <w:r>
        <w:t>Although the residuals seem to fluctuate around 0, the fluctuation is very high indicating the variance is not constant. In order to observe stationarity more concretely, the behaviour of the Autocorrelation function of each series will be observed.</w:t>
      </w:r>
    </w:p>
    <w:p w14:paraId="5C8D64D1" w14:textId="155610E6" w:rsidR="00E56578" w:rsidRDefault="00306D5B" w:rsidP="000B7A0A">
      <w:pPr>
        <w:jc w:val="both"/>
      </w:pPr>
      <w:r w:rsidRPr="00306D5B">
        <w:rPr>
          <w:noProof/>
        </w:rPr>
        <w:drawing>
          <wp:inline distT="0" distB="0" distL="0" distR="0" wp14:anchorId="7BBEA15A" wp14:editId="04FB4C7F">
            <wp:extent cx="1862532" cy="1392986"/>
            <wp:effectExtent l="0" t="0" r="4445"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886384" cy="1410825"/>
                    </a:xfrm>
                    <a:prstGeom prst="rect">
                      <a:avLst/>
                    </a:prstGeom>
                  </pic:spPr>
                </pic:pic>
              </a:graphicData>
            </a:graphic>
          </wp:inline>
        </w:drawing>
      </w:r>
      <w:r w:rsidRPr="00306D5B">
        <w:rPr>
          <w:noProof/>
        </w:rPr>
        <w:drawing>
          <wp:inline distT="0" distB="0" distL="0" distR="0" wp14:anchorId="58C1E4C3" wp14:editId="1DF459B8">
            <wp:extent cx="1954695" cy="1461914"/>
            <wp:effectExtent l="0" t="0" r="127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018286" cy="1509474"/>
                    </a:xfrm>
                    <a:prstGeom prst="rect">
                      <a:avLst/>
                    </a:prstGeom>
                  </pic:spPr>
                </pic:pic>
              </a:graphicData>
            </a:graphic>
          </wp:inline>
        </w:drawing>
      </w:r>
      <w:r w:rsidRPr="00306D5B">
        <w:rPr>
          <w:noProof/>
        </w:rPr>
        <w:drawing>
          <wp:inline distT="0" distB="0" distL="0" distR="0" wp14:anchorId="21D30167" wp14:editId="36BA5418">
            <wp:extent cx="1861185" cy="1391978"/>
            <wp:effectExtent l="0" t="0" r="5715"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926626" cy="1440921"/>
                    </a:xfrm>
                    <a:prstGeom prst="rect">
                      <a:avLst/>
                    </a:prstGeom>
                  </pic:spPr>
                </pic:pic>
              </a:graphicData>
            </a:graphic>
          </wp:inline>
        </w:drawing>
      </w:r>
    </w:p>
    <w:p w14:paraId="480F808B" w14:textId="2AED3D63" w:rsidR="005E4C8C" w:rsidRDefault="005E4C8C" w:rsidP="000B7A0A">
      <w:pPr>
        <w:jc w:val="both"/>
      </w:pPr>
      <w:r>
        <w:t>The autocorrelation functions show presence of high autocorrelation in the series.</w:t>
      </w:r>
      <w:r w:rsidR="00B233AB">
        <w:t xml:space="preserve"> Even beyond the Lags of order 10, the series seems to exhibit autocorrelation.</w:t>
      </w:r>
      <w:r>
        <w:t xml:space="preserve"> In order to </w:t>
      </w:r>
      <w:r w:rsidR="00B233AB">
        <w:t xml:space="preserve">concretely </w:t>
      </w:r>
      <w:r>
        <w:t>check the presence of Unit root in the series, the Augmented Dickey Fuller test is performed. The hypothesis for the ADF test is:</w:t>
      </w:r>
    </w:p>
    <w:p w14:paraId="42560A85" w14:textId="421B27E6" w:rsidR="00B233AB" w:rsidRDefault="005E4C8C" w:rsidP="00CD27D5">
      <w:pPr>
        <w:jc w:val="both"/>
        <w:rPr>
          <w:rFonts w:eastAsiaTheme="minorEastAsia"/>
        </w:rPr>
      </w:pPr>
      <w:r>
        <w:t xml:space="preserve"> </w:t>
      </w:r>
      <m:oMath>
        <m:sSub>
          <m:sSubPr>
            <m:ctrlPr>
              <w:rPr>
                <w:rFonts w:ascii="Cambria Math" w:hAnsi="Cambria Math"/>
                <w:i/>
              </w:rPr>
            </m:ctrlPr>
          </m:sSubPr>
          <m:e>
            <m:r>
              <w:rPr>
                <w:rFonts w:ascii="Cambria Math" w:hAnsi="Cambria Math"/>
              </w:rPr>
              <m:t>H</m:t>
            </m:r>
          </m:e>
          <m:sub>
            <m:r>
              <w:rPr>
                <w:rFonts w:ascii="Cambria Math" w:hAnsi="Cambria Math"/>
              </w:rPr>
              <m:t>0</m:t>
            </m:r>
          </m:sub>
        </m:sSub>
        <m:r>
          <w:rPr>
            <w:rFonts w:ascii="Cambria Math" w:hAnsi="Cambria Math"/>
          </w:rPr>
          <m:t>= Series is Non-Stationary</m:t>
        </m:r>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 xml:space="preserve"> H</m:t>
            </m:r>
          </m:e>
          <m:sub>
            <m:r>
              <w:rPr>
                <w:rFonts w:ascii="Cambria Math" w:eastAsiaTheme="minorEastAsia" w:hAnsi="Cambria Math"/>
              </w:rPr>
              <m:t>a</m:t>
            </m:r>
          </m:sub>
        </m:sSub>
        <m:r>
          <w:rPr>
            <w:rFonts w:ascii="Cambria Math" w:eastAsiaTheme="minorEastAsia" w:hAnsi="Cambria Math"/>
          </w:rPr>
          <m:t>= Series is Stationary</m:t>
        </m:r>
      </m:oMath>
      <w:r w:rsidR="00B233AB">
        <w:rPr>
          <w:rFonts w:eastAsiaTheme="minorEastAsia"/>
        </w:rPr>
        <w:t>, Lag order=10</w:t>
      </w:r>
    </w:p>
    <w:p w14:paraId="0BF2C9FF" w14:textId="3FEFB066" w:rsidR="006B2E27" w:rsidRDefault="006B2E27" w:rsidP="000B7A0A">
      <w:pPr>
        <w:pStyle w:val="Caption"/>
        <w:keepNext/>
        <w:jc w:val="both"/>
      </w:pPr>
      <w:r>
        <w:t xml:space="preserve">Table </w:t>
      </w:r>
      <w:fldSimple w:instr=" SEQ Table \* ARABIC ">
        <w:r w:rsidR="00BC30D3">
          <w:rPr>
            <w:noProof/>
          </w:rPr>
          <w:t>2</w:t>
        </w:r>
      </w:fldSimple>
      <w:r>
        <w:t>: Unit root detection test of the time series</w:t>
      </w:r>
      <w:r w:rsidR="00CD27D5">
        <w:t xml:space="preserve">; </w:t>
      </w:r>
      <m:oMath>
        <m:sSub>
          <m:sSubPr>
            <m:ctrlPr>
              <w:rPr>
                <w:rFonts w:ascii="Cambria Math" w:hAnsi="Cambria Math"/>
                <w:i w:val="0"/>
              </w:rPr>
            </m:ctrlPr>
          </m:sSubPr>
          <m:e>
            <m:r>
              <w:rPr>
                <w:rFonts w:ascii="Cambria Math" w:hAnsi="Cambria Math"/>
              </w:rPr>
              <m:t>H</m:t>
            </m:r>
          </m:e>
          <m:sub>
            <m:r>
              <w:rPr>
                <w:rFonts w:ascii="Cambria Math" w:hAnsi="Cambria Math"/>
              </w:rPr>
              <m:t>0</m:t>
            </m:r>
          </m:sub>
        </m:sSub>
        <m:r>
          <w:rPr>
            <w:rFonts w:ascii="Cambria Math" w:hAnsi="Cambria Math"/>
          </w:rPr>
          <m:t>= Series is Non-Stationary</m:t>
        </m:r>
        <m:r>
          <w:rPr>
            <w:rFonts w:ascii="Cambria Math" w:eastAsiaTheme="minorEastAsia" w:hAnsi="Cambria Math"/>
          </w:rPr>
          <m:t xml:space="preserve">, </m:t>
        </m:r>
        <m:sSub>
          <m:sSubPr>
            <m:ctrlPr>
              <w:rPr>
                <w:rFonts w:ascii="Cambria Math" w:eastAsiaTheme="minorEastAsia" w:hAnsi="Cambria Math"/>
                <w:i w:val="0"/>
              </w:rPr>
            </m:ctrlPr>
          </m:sSubPr>
          <m:e>
            <m:r>
              <w:rPr>
                <w:rFonts w:ascii="Cambria Math" w:eastAsiaTheme="minorEastAsia" w:hAnsi="Cambria Math"/>
              </w:rPr>
              <m:t xml:space="preserve"> H</m:t>
            </m:r>
          </m:e>
          <m:sub>
            <m:r>
              <w:rPr>
                <w:rFonts w:ascii="Cambria Math" w:eastAsiaTheme="minorEastAsia" w:hAnsi="Cambria Math"/>
              </w:rPr>
              <m:t>a</m:t>
            </m:r>
          </m:sub>
        </m:sSub>
        <m:r>
          <w:rPr>
            <w:rFonts w:ascii="Cambria Math" w:eastAsiaTheme="minorEastAsia" w:hAnsi="Cambria Math"/>
          </w:rPr>
          <m:t>= Series is Stationary</m:t>
        </m:r>
      </m:oMath>
      <w:r w:rsidR="00CD27D5">
        <w:rPr>
          <w:rFonts w:eastAsiaTheme="minorEastAsia"/>
        </w:rPr>
        <w:t>, Lag order=10</w:t>
      </w:r>
    </w:p>
    <w:tbl>
      <w:tblPr>
        <w:tblStyle w:val="TableGrid"/>
        <w:tblW w:w="0" w:type="auto"/>
        <w:tblLook w:val="04A0" w:firstRow="1" w:lastRow="0" w:firstColumn="1" w:lastColumn="0" w:noHBand="0" w:noVBand="1"/>
      </w:tblPr>
      <w:tblGrid>
        <w:gridCol w:w="3003"/>
        <w:gridCol w:w="3003"/>
        <w:gridCol w:w="3004"/>
      </w:tblGrid>
      <w:tr w:rsidR="00B233AB" w14:paraId="017A920F" w14:textId="77777777" w:rsidTr="00B233AB">
        <w:tc>
          <w:tcPr>
            <w:tcW w:w="3003" w:type="dxa"/>
          </w:tcPr>
          <w:p w14:paraId="1F832862" w14:textId="3CD6EF1B" w:rsidR="00B233AB" w:rsidRPr="00B233AB" w:rsidRDefault="00B233AB" w:rsidP="000B7A0A">
            <w:pPr>
              <w:jc w:val="both"/>
              <w:rPr>
                <w:rFonts w:eastAsiaTheme="minorEastAsia"/>
                <w:i/>
                <w:iCs/>
              </w:rPr>
            </w:pPr>
            <w:r>
              <w:rPr>
                <w:rFonts w:eastAsiaTheme="minorEastAsia"/>
                <w:i/>
                <w:iCs/>
              </w:rPr>
              <w:t>Series</w:t>
            </w:r>
          </w:p>
        </w:tc>
        <w:tc>
          <w:tcPr>
            <w:tcW w:w="3003" w:type="dxa"/>
          </w:tcPr>
          <w:p w14:paraId="05B0FF50" w14:textId="358F23A9" w:rsidR="00B233AB" w:rsidRPr="00B233AB" w:rsidRDefault="00B233AB" w:rsidP="000B7A0A">
            <w:pPr>
              <w:jc w:val="both"/>
              <w:rPr>
                <w:rFonts w:eastAsiaTheme="minorEastAsia"/>
                <w:i/>
                <w:iCs/>
              </w:rPr>
            </w:pPr>
            <w:r w:rsidRPr="00B233AB">
              <w:rPr>
                <w:rFonts w:eastAsiaTheme="minorEastAsia"/>
                <w:i/>
                <w:iCs/>
              </w:rPr>
              <w:t>ADF Statistic</w:t>
            </w:r>
          </w:p>
        </w:tc>
        <w:tc>
          <w:tcPr>
            <w:tcW w:w="3004" w:type="dxa"/>
          </w:tcPr>
          <w:p w14:paraId="723F4D04" w14:textId="3C387321" w:rsidR="00B233AB" w:rsidRPr="00B233AB" w:rsidRDefault="00B233AB" w:rsidP="000B7A0A">
            <w:pPr>
              <w:jc w:val="both"/>
              <w:rPr>
                <w:rFonts w:eastAsiaTheme="minorEastAsia"/>
                <w:i/>
                <w:iCs/>
              </w:rPr>
            </w:pPr>
            <w:r w:rsidRPr="00B233AB">
              <w:rPr>
                <w:rFonts w:eastAsiaTheme="minorEastAsia"/>
                <w:i/>
                <w:iCs/>
              </w:rPr>
              <w:t>Probability</w:t>
            </w:r>
          </w:p>
        </w:tc>
      </w:tr>
      <w:tr w:rsidR="00B233AB" w14:paraId="5F650351" w14:textId="77777777" w:rsidTr="00B233AB">
        <w:tc>
          <w:tcPr>
            <w:tcW w:w="3003" w:type="dxa"/>
          </w:tcPr>
          <w:p w14:paraId="564209D0" w14:textId="5652A131" w:rsidR="00B233AB" w:rsidRDefault="00B233AB" w:rsidP="000B7A0A">
            <w:pPr>
              <w:jc w:val="both"/>
              <w:rPr>
                <w:rFonts w:eastAsiaTheme="minorEastAsia"/>
              </w:rPr>
            </w:pPr>
            <w:r>
              <w:rPr>
                <w:rFonts w:eastAsiaTheme="minorEastAsia"/>
              </w:rPr>
              <w:t>Crude Oil Price</w:t>
            </w:r>
          </w:p>
        </w:tc>
        <w:tc>
          <w:tcPr>
            <w:tcW w:w="3003" w:type="dxa"/>
          </w:tcPr>
          <w:p w14:paraId="3E7F4B87" w14:textId="4182706B" w:rsidR="00B233AB" w:rsidRDefault="00B233AB" w:rsidP="000B7A0A">
            <w:pPr>
              <w:jc w:val="both"/>
              <w:rPr>
                <w:rFonts w:eastAsiaTheme="minorEastAsia"/>
              </w:rPr>
            </w:pPr>
            <w:r>
              <w:rPr>
                <w:rFonts w:eastAsiaTheme="minorEastAsia"/>
              </w:rPr>
              <w:t>-2.59</w:t>
            </w:r>
          </w:p>
        </w:tc>
        <w:tc>
          <w:tcPr>
            <w:tcW w:w="3004" w:type="dxa"/>
          </w:tcPr>
          <w:p w14:paraId="34814C9D" w14:textId="114A969D" w:rsidR="00B233AB" w:rsidRDefault="00B233AB" w:rsidP="000B7A0A">
            <w:pPr>
              <w:jc w:val="both"/>
              <w:rPr>
                <w:rFonts w:eastAsiaTheme="minorEastAsia"/>
              </w:rPr>
            </w:pPr>
            <w:r>
              <w:rPr>
                <w:rFonts w:eastAsiaTheme="minorEastAsia"/>
              </w:rPr>
              <w:t>0.33</w:t>
            </w:r>
          </w:p>
        </w:tc>
      </w:tr>
      <w:tr w:rsidR="00B233AB" w14:paraId="698D3B4E" w14:textId="77777777" w:rsidTr="00B233AB">
        <w:tc>
          <w:tcPr>
            <w:tcW w:w="3003" w:type="dxa"/>
          </w:tcPr>
          <w:p w14:paraId="413D23ED" w14:textId="65ED7E00" w:rsidR="00B233AB" w:rsidRDefault="00B233AB" w:rsidP="000B7A0A">
            <w:pPr>
              <w:jc w:val="both"/>
              <w:rPr>
                <w:rFonts w:eastAsiaTheme="minorEastAsia"/>
              </w:rPr>
            </w:pPr>
            <w:r>
              <w:rPr>
                <w:rFonts w:eastAsiaTheme="minorEastAsia"/>
              </w:rPr>
              <w:t>Exchange R</w:t>
            </w:r>
            <w:r w:rsidR="00606769">
              <w:rPr>
                <w:rFonts w:eastAsiaTheme="minorEastAsia"/>
              </w:rPr>
              <w:t>ates</w:t>
            </w:r>
          </w:p>
        </w:tc>
        <w:tc>
          <w:tcPr>
            <w:tcW w:w="3003" w:type="dxa"/>
          </w:tcPr>
          <w:p w14:paraId="61980B58" w14:textId="3822A2D7" w:rsidR="00B233AB" w:rsidRDefault="00B233AB" w:rsidP="000B7A0A">
            <w:pPr>
              <w:jc w:val="both"/>
              <w:rPr>
                <w:rFonts w:eastAsiaTheme="minorEastAsia"/>
              </w:rPr>
            </w:pPr>
            <w:r>
              <w:rPr>
                <w:rFonts w:eastAsiaTheme="minorEastAsia"/>
              </w:rPr>
              <w:t>-1.94</w:t>
            </w:r>
          </w:p>
        </w:tc>
        <w:tc>
          <w:tcPr>
            <w:tcW w:w="3004" w:type="dxa"/>
          </w:tcPr>
          <w:p w14:paraId="20F81D6A" w14:textId="62D21993" w:rsidR="00B233AB" w:rsidRDefault="00B233AB" w:rsidP="000B7A0A">
            <w:pPr>
              <w:jc w:val="both"/>
              <w:rPr>
                <w:rFonts w:eastAsiaTheme="minorEastAsia"/>
              </w:rPr>
            </w:pPr>
            <w:r>
              <w:rPr>
                <w:rFonts w:eastAsiaTheme="minorEastAsia"/>
              </w:rPr>
              <w:t>0.60</w:t>
            </w:r>
          </w:p>
        </w:tc>
      </w:tr>
      <w:tr w:rsidR="00B233AB" w14:paraId="0381C36B" w14:textId="77777777" w:rsidTr="00B233AB">
        <w:tc>
          <w:tcPr>
            <w:tcW w:w="3003" w:type="dxa"/>
          </w:tcPr>
          <w:p w14:paraId="384E2D34" w14:textId="54CAED30" w:rsidR="00B233AB" w:rsidRDefault="00606769" w:rsidP="000B7A0A">
            <w:pPr>
              <w:jc w:val="both"/>
              <w:rPr>
                <w:rFonts w:eastAsiaTheme="minorEastAsia"/>
              </w:rPr>
            </w:pPr>
            <w:r>
              <w:rPr>
                <w:rFonts w:eastAsiaTheme="minorEastAsia"/>
              </w:rPr>
              <w:t>Forex Reserves</w:t>
            </w:r>
          </w:p>
        </w:tc>
        <w:tc>
          <w:tcPr>
            <w:tcW w:w="3003" w:type="dxa"/>
          </w:tcPr>
          <w:p w14:paraId="2A28FB2F" w14:textId="0621282B" w:rsidR="00B233AB" w:rsidRDefault="00606769" w:rsidP="000B7A0A">
            <w:pPr>
              <w:jc w:val="both"/>
              <w:rPr>
                <w:rFonts w:eastAsiaTheme="minorEastAsia"/>
              </w:rPr>
            </w:pPr>
            <w:r>
              <w:rPr>
                <w:rFonts w:eastAsiaTheme="minorEastAsia"/>
              </w:rPr>
              <w:t>-2.31</w:t>
            </w:r>
          </w:p>
        </w:tc>
        <w:tc>
          <w:tcPr>
            <w:tcW w:w="3004" w:type="dxa"/>
          </w:tcPr>
          <w:p w14:paraId="01390502" w14:textId="3768C9B8" w:rsidR="00B233AB" w:rsidRDefault="00606769" w:rsidP="000B7A0A">
            <w:pPr>
              <w:jc w:val="both"/>
              <w:rPr>
                <w:rFonts w:eastAsiaTheme="minorEastAsia"/>
              </w:rPr>
            </w:pPr>
            <w:r>
              <w:rPr>
                <w:rFonts w:eastAsiaTheme="minorEastAsia"/>
              </w:rPr>
              <w:t>0.45</w:t>
            </w:r>
          </w:p>
        </w:tc>
      </w:tr>
    </w:tbl>
    <w:p w14:paraId="1E942693" w14:textId="5CE651B3" w:rsidR="00CD27D5" w:rsidRDefault="00606769" w:rsidP="00CD27D5">
      <w:pPr>
        <w:jc w:val="both"/>
      </w:pPr>
      <w:r>
        <w:rPr>
          <w:rFonts w:eastAsiaTheme="minorEastAsia"/>
        </w:rPr>
        <w:t>With the ADF test, the null hypothesis that the series are non-stationary cannot be rejected.</w:t>
      </w:r>
      <w:r w:rsidR="002269C4">
        <w:rPr>
          <w:rFonts w:eastAsiaTheme="minorEastAsia"/>
        </w:rPr>
        <w:t xml:space="preserve"> Since p-value&gt;0.05 of ADF statistic.</w:t>
      </w:r>
      <w:r>
        <w:rPr>
          <w:rFonts w:eastAsiaTheme="minorEastAsia"/>
        </w:rPr>
        <w:t xml:space="preserve"> This means that the series </w:t>
      </w:r>
      <w:r w:rsidRPr="00606769">
        <w:rPr>
          <w:rFonts w:eastAsiaTheme="minorEastAsia"/>
        </w:rPr>
        <w:t>possesses some time-dependent structure and does not possess constant variance over time.</w:t>
      </w:r>
      <w:r w:rsidRPr="00606769">
        <w:rPr>
          <w:rFonts w:eastAsiaTheme="minorEastAsia"/>
          <w:i/>
          <w:iCs/>
        </w:rPr>
        <w:t> </w:t>
      </w:r>
      <w:r>
        <w:t>One way to make the series stationary is by taking the logarithms of the variable</w:t>
      </w:r>
      <w:r w:rsidR="006B2E27">
        <w:t>s</w:t>
      </w:r>
      <w:r>
        <w:t xml:space="preserve">. </w:t>
      </w:r>
      <w:r w:rsidR="006B2E27">
        <w:t>The logarithm help stabilises the variance in time series</w:t>
      </w:r>
      <w:r>
        <w:t xml:space="preserve">. </w:t>
      </w:r>
    </w:p>
    <w:p w14:paraId="0C77CB7D" w14:textId="4BFDCB3B" w:rsidR="00CD27D5" w:rsidRPr="006B2E27" w:rsidRDefault="00CD27D5" w:rsidP="000B7A0A">
      <w:pPr>
        <w:jc w:val="both"/>
        <w:rPr>
          <w:rFonts w:eastAsiaTheme="minorEastAsia"/>
        </w:rPr>
      </w:pPr>
    </w:p>
    <w:p w14:paraId="44F96732" w14:textId="404886E7" w:rsidR="006B2E27" w:rsidRDefault="006B2E27" w:rsidP="000B7A0A">
      <w:pPr>
        <w:pStyle w:val="Caption"/>
        <w:keepNext/>
        <w:jc w:val="both"/>
      </w:pPr>
      <w:r>
        <w:t xml:space="preserve">Table </w:t>
      </w:r>
      <w:fldSimple w:instr=" SEQ Table \* ARABIC ">
        <w:r w:rsidR="00BC30D3">
          <w:rPr>
            <w:noProof/>
          </w:rPr>
          <w:t>3</w:t>
        </w:r>
      </w:fldSimple>
      <w:r>
        <w:t>: Unit toot detection in log-transformed time series</w:t>
      </w:r>
      <w:r w:rsidR="00CD27D5">
        <w:t xml:space="preserve">; </w:t>
      </w:r>
      <m:oMath>
        <m:sSub>
          <m:sSubPr>
            <m:ctrlPr>
              <w:rPr>
                <w:rFonts w:ascii="Cambria Math" w:hAnsi="Cambria Math"/>
                <w:i w:val="0"/>
              </w:rPr>
            </m:ctrlPr>
          </m:sSubPr>
          <m:e>
            <m:r>
              <w:rPr>
                <w:rFonts w:ascii="Cambria Math" w:hAnsi="Cambria Math"/>
              </w:rPr>
              <m:t>H</m:t>
            </m:r>
          </m:e>
          <m:sub>
            <m:r>
              <w:rPr>
                <w:rFonts w:ascii="Cambria Math" w:hAnsi="Cambria Math"/>
              </w:rPr>
              <m:t>0</m:t>
            </m:r>
          </m:sub>
        </m:sSub>
        <m:r>
          <w:rPr>
            <w:rFonts w:ascii="Cambria Math" w:hAnsi="Cambria Math"/>
          </w:rPr>
          <m:t>= Series is Non-Stationary</m:t>
        </m:r>
        <m:r>
          <w:rPr>
            <w:rFonts w:ascii="Cambria Math" w:eastAsiaTheme="minorEastAsia" w:hAnsi="Cambria Math"/>
          </w:rPr>
          <m:t xml:space="preserve">, </m:t>
        </m:r>
        <m:sSub>
          <m:sSubPr>
            <m:ctrlPr>
              <w:rPr>
                <w:rFonts w:ascii="Cambria Math" w:eastAsiaTheme="minorEastAsia" w:hAnsi="Cambria Math"/>
                <w:i w:val="0"/>
              </w:rPr>
            </m:ctrlPr>
          </m:sSubPr>
          <m:e>
            <m:r>
              <w:rPr>
                <w:rFonts w:ascii="Cambria Math" w:eastAsiaTheme="minorEastAsia" w:hAnsi="Cambria Math"/>
              </w:rPr>
              <m:t xml:space="preserve"> H</m:t>
            </m:r>
          </m:e>
          <m:sub>
            <m:r>
              <w:rPr>
                <w:rFonts w:ascii="Cambria Math" w:eastAsiaTheme="minorEastAsia" w:hAnsi="Cambria Math"/>
              </w:rPr>
              <m:t>a</m:t>
            </m:r>
          </m:sub>
        </m:sSub>
        <m:r>
          <w:rPr>
            <w:rFonts w:ascii="Cambria Math" w:eastAsiaTheme="minorEastAsia" w:hAnsi="Cambria Math"/>
          </w:rPr>
          <m:t>= Series is Stationary</m:t>
        </m:r>
      </m:oMath>
      <w:r w:rsidR="00CD27D5">
        <w:rPr>
          <w:rFonts w:eastAsiaTheme="minorEastAsia"/>
        </w:rPr>
        <w:t>, Lag order=10</w:t>
      </w:r>
    </w:p>
    <w:tbl>
      <w:tblPr>
        <w:tblStyle w:val="TableGrid"/>
        <w:tblW w:w="0" w:type="auto"/>
        <w:tblLook w:val="04A0" w:firstRow="1" w:lastRow="0" w:firstColumn="1" w:lastColumn="0" w:noHBand="0" w:noVBand="1"/>
      </w:tblPr>
      <w:tblGrid>
        <w:gridCol w:w="3003"/>
        <w:gridCol w:w="3003"/>
        <w:gridCol w:w="3004"/>
      </w:tblGrid>
      <w:tr w:rsidR="00606769" w14:paraId="40DEC989" w14:textId="77777777" w:rsidTr="00606769">
        <w:tc>
          <w:tcPr>
            <w:tcW w:w="3003" w:type="dxa"/>
          </w:tcPr>
          <w:p w14:paraId="706E30B5" w14:textId="77777777" w:rsidR="00606769" w:rsidRPr="00B233AB" w:rsidRDefault="00606769" w:rsidP="000B7A0A">
            <w:pPr>
              <w:jc w:val="both"/>
              <w:rPr>
                <w:rFonts w:eastAsiaTheme="minorEastAsia"/>
                <w:i/>
                <w:iCs/>
              </w:rPr>
            </w:pPr>
            <w:r>
              <w:rPr>
                <w:rFonts w:eastAsiaTheme="minorEastAsia"/>
                <w:i/>
                <w:iCs/>
              </w:rPr>
              <w:t>Series</w:t>
            </w:r>
          </w:p>
        </w:tc>
        <w:tc>
          <w:tcPr>
            <w:tcW w:w="3003" w:type="dxa"/>
          </w:tcPr>
          <w:p w14:paraId="4E4F7C79" w14:textId="77777777" w:rsidR="00606769" w:rsidRPr="00B233AB" w:rsidRDefault="00606769" w:rsidP="000B7A0A">
            <w:pPr>
              <w:jc w:val="both"/>
              <w:rPr>
                <w:rFonts w:eastAsiaTheme="minorEastAsia"/>
                <w:i/>
                <w:iCs/>
              </w:rPr>
            </w:pPr>
            <w:r w:rsidRPr="00B233AB">
              <w:rPr>
                <w:rFonts w:eastAsiaTheme="minorEastAsia"/>
                <w:i/>
                <w:iCs/>
              </w:rPr>
              <w:t>ADF Statistic</w:t>
            </w:r>
          </w:p>
        </w:tc>
        <w:tc>
          <w:tcPr>
            <w:tcW w:w="3004" w:type="dxa"/>
          </w:tcPr>
          <w:p w14:paraId="5A671D60" w14:textId="77777777" w:rsidR="00606769" w:rsidRPr="00B233AB" w:rsidRDefault="00606769" w:rsidP="000B7A0A">
            <w:pPr>
              <w:jc w:val="both"/>
              <w:rPr>
                <w:rFonts w:eastAsiaTheme="minorEastAsia"/>
                <w:i/>
                <w:iCs/>
              </w:rPr>
            </w:pPr>
            <w:r w:rsidRPr="00B233AB">
              <w:rPr>
                <w:rFonts w:eastAsiaTheme="minorEastAsia"/>
                <w:i/>
                <w:iCs/>
              </w:rPr>
              <w:t>Probability</w:t>
            </w:r>
          </w:p>
        </w:tc>
      </w:tr>
      <w:tr w:rsidR="00606769" w14:paraId="442B41EB" w14:textId="77777777" w:rsidTr="00606769">
        <w:tc>
          <w:tcPr>
            <w:tcW w:w="3003" w:type="dxa"/>
          </w:tcPr>
          <w:p w14:paraId="3DE6688F" w14:textId="1022F330" w:rsidR="00606769" w:rsidRDefault="00C50D5E" w:rsidP="000B7A0A">
            <w:pPr>
              <w:jc w:val="both"/>
              <w:rPr>
                <w:rFonts w:eastAsiaTheme="minorEastAsia"/>
              </w:rPr>
            </w:pPr>
            <w:r>
              <w:rPr>
                <w:rFonts w:eastAsiaTheme="minorEastAsia"/>
              </w:rPr>
              <w:t xml:space="preserve">Log </w:t>
            </w:r>
            <w:r w:rsidR="00606769">
              <w:rPr>
                <w:rFonts w:eastAsiaTheme="minorEastAsia"/>
              </w:rPr>
              <w:t>Crude Oil Price</w:t>
            </w:r>
          </w:p>
        </w:tc>
        <w:tc>
          <w:tcPr>
            <w:tcW w:w="3003" w:type="dxa"/>
          </w:tcPr>
          <w:p w14:paraId="4B45FCFB" w14:textId="5527C9F4" w:rsidR="00606769" w:rsidRDefault="00606769" w:rsidP="000B7A0A">
            <w:pPr>
              <w:jc w:val="both"/>
              <w:rPr>
                <w:rFonts w:eastAsiaTheme="minorEastAsia"/>
              </w:rPr>
            </w:pPr>
            <w:r>
              <w:rPr>
                <w:rFonts w:eastAsiaTheme="minorEastAsia"/>
              </w:rPr>
              <w:t>-2.</w:t>
            </w:r>
            <w:r w:rsidR="00C50D5E">
              <w:rPr>
                <w:rFonts w:eastAsiaTheme="minorEastAsia"/>
              </w:rPr>
              <w:t>48</w:t>
            </w:r>
          </w:p>
        </w:tc>
        <w:tc>
          <w:tcPr>
            <w:tcW w:w="3004" w:type="dxa"/>
          </w:tcPr>
          <w:p w14:paraId="57070A84" w14:textId="05C6A3F8" w:rsidR="00606769" w:rsidRDefault="00606769" w:rsidP="000B7A0A">
            <w:pPr>
              <w:jc w:val="both"/>
              <w:rPr>
                <w:rFonts w:eastAsiaTheme="minorEastAsia"/>
              </w:rPr>
            </w:pPr>
            <w:r>
              <w:rPr>
                <w:rFonts w:eastAsiaTheme="minorEastAsia"/>
              </w:rPr>
              <w:t>0.3</w:t>
            </w:r>
            <w:r w:rsidR="00C50D5E">
              <w:rPr>
                <w:rFonts w:eastAsiaTheme="minorEastAsia"/>
              </w:rPr>
              <w:t>7</w:t>
            </w:r>
          </w:p>
        </w:tc>
      </w:tr>
      <w:tr w:rsidR="00606769" w14:paraId="71184C33" w14:textId="77777777" w:rsidTr="00606769">
        <w:tc>
          <w:tcPr>
            <w:tcW w:w="3003" w:type="dxa"/>
          </w:tcPr>
          <w:p w14:paraId="4A8CB7A7" w14:textId="7EAA77F3" w:rsidR="00606769" w:rsidRDefault="00C50D5E" w:rsidP="000B7A0A">
            <w:pPr>
              <w:jc w:val="both"/>
              <w:rPr>
                <w:rFonts w:eastAsiaTheme="minorEastAsia"/>
              </w:rPr>
            </w:pPr>
            <w:r>
              <w:rPr>
                <w:rFonts w:eastAsiaTheme="minorEastAsia"/>
              </w:rPr>
              <w:t xml:space="preserve">Log </w:t>
            </w:r>
            <w:r w:rsidR="00606769">
              <w:rPr>
                <w:rFonts w:eastAsiaTheme="minorEastAsia"/>
              </w:rPr>
              <w:t>Exchange Rates</w:t>
            </w:r>
          </w:p>
        </w:tc>
        <w:tc>
          <w:tcPr>
            <w:tcW w:w="3003" w:type="dxa"/>
          </w:tcPr>
          <w:p w14:paraId="136E4EFF" w14:textId="24F225B7" w:rsidR="00606769" w:rsidRDefault="00606769" w:rsidP="000B7A0A">
            <w:pPr>
              <w:jc w:val="both"/>
              <w:rPr>
                <w:rFonts w:eastAsiaTheme="minorEastAsia"/>
              </w:rPr>
            </w:pPr>
            <w:r>
              <w:rPr>
                <w:rFonts w:eastAsiaTheme="minorEastAsia"/>
              </w:rPr>
              <w:t>-</w:t>
            </w:r>
            <w:r w:rsidR="00C50D5E">
              <w:rPr>
                <w:rFonts w:eastAsiaTheme="minorEastAsia"/>
              </w:rPr>
              <w:t>2.17</w:t>
            </w:r>
          </w:p>
        </w:tc>
        <w:tc>
          <w:tcPr>
            <w:tcW w:w="3004" w:type="dxa"/>
          </w:tcPr>
          <w:p w14:paraId="09D95180" w14:textId="79D14E53" w:rsidR="00606769" w:rsidRDefault="00606769" w:rsidP="000B7A0A">
            <w:pPr>
              <w:jc w:val="both"/>
              <w:rPr>
                <w:rFonts w:eastAsiaTheme="minorEastAsia"/>
              </w:rPr>
            </w:pPr>
            <w:r>
              <w:rPr>
                <w:rFonts w:eastAsiaTheme="minorEastAsia"/>
              </w:rPr>
              <w:t>0.</w:t>
            </w:r>
            <w:r w:rsidR="00C50D5E">
              <w:rPr>
                <w:rFonts w:eastAsiaTheme="minorEastAsia"/>
              </w:rPr>
              <w:t>51</w:t>
            </w:r>
          </w:p>
        </w:tc>
      </w:tr>
      <w:tr w:rsidR="00606769" w14:paraId="023AA80B" w14:textId="77777777" w:rsidTr="00606769">
        <w:tc>
          <w:tcPr>
            <w:tcW w:w="3003" w:type="dxa"/>
          </w:tcPr>
          <w:p w14:paraId="4C304347" w14:textId="11D720A7" w:rsidR="00606769" w:rsidRDefault="00C50D5E" w:rsidP="000B7A0A">
            <w:pPr>
              <w:jc w:val="both"/>
              <w:rPr>
                <w:rFonts w:eastAsiaTheme="minorEastAsia"/>
              </w:rPr>
            </w:pPr>
            <w:r>
              <w:rPr>
                <w:rFonts w:eastAsiaTheme="minorEastAsia"/>
              </w:rPr>
              <w:t xml:space="preserve">Log </w:t>
            </w:r>
            <w:r w:rsidR="00606769">
              <w:rPr>
                <w:rFonts w:eastAsiaTheme="minorEastAsia"/>
              </w:rPr>
              <w:t>Forex Reserves</w:t>
            </w:r>
          </w:p>
        </w:tc>
        <w:tc>
          <w:tcPr>
            <w:tcW w:w="3003" w:type="dxa"/>
          </w:tcPr>
          <w:p w14:paraId="7291D348" w14:textId="71668695" w:rsidR="00606769" w:rsidRDefault="00606769" w:rsidP="000B7A0A">
            <w:pPr>
              <w:jc w:val="both"/>
              <w:rPr>
                <w:rFonts w:eastAsiaTheme="minorEastAsia"/>
              </w:rPr>
            </w:pPr>
            <w:r>
              <w:rPr>
                <w:rFonts w:eastAsiaTheme="minorEastAsia"/>
              </w:rPr>
              <w:t>-2.</w:t>
            </w:r>
            <w:r w:rsidR="00C50D5E">
              <w:rPr>
                <w:rFonts w:eastAsiaTheme="minorEastAsia"/>
              </w:rPr>
              <w:t>66</w:t>
            </w:r>
          </w:p>
        </w:tc>
        <w:tc>
          <w:tcPr>
            <w:tcW w:w="3004" w:type="dxa"/>
          </w:tcPr>
          <w:p w14:paraId="5F635EDA" w14:textId="1FDC93B9" w:rsidR="00606769" w:rsidRDefault="00606769" w:rsidP="000B7A0A">
            <w:pPr>
              <w:jc w:val="both"/>
              <w:rPr>
                <w:rFonts w:eastAsiaTheme="minorEastAsia"/>
              </w:rPr>
            </w:pPr>
            <w:r>
              <w:rPr>
                <w:rFonts w:eastAsiaTheme="minorEastAsia"/>
              </w:rPr>
              <w:t>0.</w:t>
            </w:r>
            <w:r w:rsidR="00C50D5E">
              <w:rPr>
                <w:rFonts w:eastAsiaTheme="minorEastAsia"/>
              </w:rPr>
              <w:t>30</w:t>
            </w:r>
          </w:p>
        </w:tc>
      </w:tr>
    </w:tbl>
    <w:p w14:paraId="09A1D9F1" w14:textId="670A3554" w:rsidR="00B42AE3" w:rsidRDefault="006B2E27" w:rsidP="000B7A0A">
      <w:pPr>
        <w:jc w:val="both"/>
      </w:pPr>
      <w:r>
        <w:t xml:space="preserve">The associated probability for the ADF statistic of the log transformed series is still greater than 0.05, so null hypothesis that the log transformed series cannot be rejected.  </w:t>
      </w:r>
    </w:p>
    <w:p w14:paraId="6F415382" w14:textId="0DD1FEAF" w:rsidR="002855D0" w:rsidRDefault="006B2E27" w:rsidP="000B7A0A">
      <w:pPr>
        <w:jc w:val="both"/>
      </w:pPr>
      <w:r>
        <w:lastRenderedPageBreak/>
        <w:t xml:space="preserve">In </w:t>
      </w:r>
      <w:r w:rsidR="002855D0">
        <w:t xml:space="preserve">order to stabilise the mean of the time series, first difference of the time series can be taken. This will remove changes in the level of time series by eliminating the time trend and seasonality. </w:t>
      </w:r>
      <w:r w:rsidR="001553A8">
        <w:t xml:space="preserve">For an observation </w:t>
      </w:r>
      <m:oMath>
        <m:sSub>
          <m:sSubPr>
            <m:ctrlPr>
              <w:rPr>
                <w:rFonts w:ascii="Cambria Math" w:hAnsi="Cambria Math"/>
                <w:i/>
              </w:rPr>
            </m:ctrlPr>
          </m:sSubPr>
          <m:e>
            <m:r>
              <w:rPr>
                <w:rFonts w:ascii="Cambria Math" w:hAnsi="Cambria Math"/>
              </w:rPr>
              <m:t>y</m:t>
            </m:r>
          </m:e>
          <m:sub>
            <m:r>
              <w:rPr>
                <w:rFonts w:ascii="Cambria Math" w:hAnsi="Cambria Math"/>
              </w:rPr>
              <m:t>t</m:t>
            </m:r>
          </m:sub>
        </m:sSub>
      </m:oMath>
      <w:r w:rsidR="001553A8">
        <w:rPr>
          <w:rFonts w:eastAsiaTheme="minorEastAsia"/>
        </w:rPr>
        <w:t xml:space="preserve"> of present time, this means another series </w:t>
      </w:r>
      <m:oMath>
        <m:r>
          <w:rPr>
            <w:rFonts w:ascii="Cambria Math" w:eastAsiaTheme="minorEastAsia" w:hAnsi="Cambria Math"/>
          </w:rPr>
          <m:t>(</m:t>
        </m:r>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t-1</m:t>
            </m:r>
          </m:sub>
        </m:sSub>
      </m:oMath>
      <w:r w:rsidR="001553A8">
        <w:rPr>
          <w:rFonts w:eastAsiaTheme="minorEastAsia"/>
        </w:rPr>
        <w:t xml:space="preserve">) or the first difference of </w:t>
      </w:r>
      <m:oMath>
        <m:sSub>
          <m:sSubPr>
            <m:ctrlPr>
              <w:rPr>
                <w:rFonts w:ascii="Cambria Math" w:hAnsi="Cambria Math"/>
                <w:i/>
              </w:rPr>
            </m:ctrlPr>
          </m:sSubPr>
          <m:e>
            <m:r>
              <w:rPr>
                <w:rFonts w:ascii="Cambria Math" w:hAnsi="Cambria Math"/>
              </w:rPr>
              <m:t>y</m:t>
            </m:r>
          </m:e>
          <m:sub>
            <m:r>
              <w:rPr>
                <w:rFonts w:ascii="Cambria Math" w:hAnsi="Cambria Math"/>
              </w:rPr>
              <m:t>t</m:t>
            </m:r>
          </m:sub>
        </m:sSub>
      </m:oMath>
      <w:r w:rsidR="001553A8">
        <w:rPr>
          <w:rFonts w:eastAsiaTheme="minorEastAsia"/>
        </w:rPr>
        <w:t xml:space="preserve"> is generated, where</w:t>
      </w:r>
      <w:r w:rsidR="001553A8">
        <w:t xml:space="preserve"> the lagged observation </w:t>
      </w:r>
      <m:oMath>
        <m:sSub>
          <m:sSubPr>
            <m:ctrlPr>
              <w:rPr>
                <w:rFonts w:ascii="Cambria Math" w:hAnsi="Cambria Math"/>
                <w:i/>
              </w:rPr>
            </m:ctrlPr>
          </m:sSubPr>
          <m:e>
            <m:r>
              <w:rPr>
                <w:rFonts w:ascii="Cambria Math" w:hAnsi="Cambria Math"/>
              </w:rPr>
              <m:t>y</m:t>
            </m:r>
          </m:e>
          <m:sub>
            <m:r>
              <w:rPr>
                <w:rFonts w:ascii="Cambria Math" w:hAnsi="Cambria Math"/>
              </w:rPr>
              <m:t>t-1</m:t>
            </m:r>
          </m:sub>
        </m:sSub>
      </m:oMath>
      <w:r w:rsidR="001553A8">
        <w:t>is subtracted from the present observation.</w:t>
      </w:r>
    </w:p>
    <w:p w14:paraId="71E630B0" w14:textId="0CDF52AF" w:rsidR="002855D0" w:rsidRDefault="002855D0" w:rsidP="000B7A0A">
      <w:pPr>
        <w:jc w:val="both"/>
        <w:rPr>
          <w:noProof/>
        </w:rPr>
      </w:pPr>
      <w:r w:rsidRPr="002855D0">
        <w:rPr>
          <w:noProof/>
        </w:rPr>
        <w:drawing>
          <wp:inline distT="0" distB="0" distL="0" distR="0" wp14:anchorId="450256D0" wp14:editId="6687EA88">
            <wp:extent cx="1855304" cy="138758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877917" cy="1404492"/>
                    </a:xfrm>
                    <a:prstGeom prst="rect">
                      <a:avLst/>
                    </a:prstGeom>
                  </pic:spPr>
                </pic:pic>
              </a:graphicData>
            </a:graphic>
          </wp:inline>
        </w:drawing>
      </w:r>
      <w:r w:rsidRPr="002855D0">
        <w:rPr>
          <w:noProof/>
        </w:rPr>
        <w:t xml:space="preserve"> </w:t>
      </w:r>
      <w:r w:rsidRPr="002855D0">
        <w:rPr>
          <w:noProof/>
        </w:rPr>
        <w:drawing>
          <wp:inline distT="0" distB="0" distL="0" distR="0" wp14:anchorId="23C1BCD2" wp14:editId="58F1BD8C">
            <wp:extent cx="1888435" cy="1412359"/>
            <wp:effectExtent l="0" t="0" r="444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911188" cy="1429376"/>
                    </a:xfrm>
                    <a:prstGeom prst="rect">
                      <a:avLst/>
                    </a:prstGeom>
                  </pic:spPr>
                </pic:pic>
              </a:graphicData>
            </a:graphic>
          </wp:inline>
        </w:drawing>
      </w:r>
      <w:r w:rsidRPr="002855D0">
        <w:rPr>
          <w:noProof/>
        </w:rPr>
        <w:t xml:space="preserve"> </w:t>
      </w:r>
      <w:r w:rsidRPr="002855D0">
        <w:rPr>
          <w:noProof/>
        </w:rPr>
        <w:drawing>
          <wp:inline distT="0" distB="0" distL="0" distR="0" wp14:anchorId="1E20B5CA" wp14:editId="7270EB0E">
            <wp:extent cx="1875183" cy="1402447"/>
            <wp:effectExtent l="0" t="0" r="444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954400" cy="1461694"/>
                    </a:xfrm>
                    <a:prstGeom prst="rect">
                      <a:avLst/>
                    </a:prstGeom>
                  </pic:spPr>
                </pic:pic>
              </a:graphicData>
            </a:graphic>
          </wp:inline>
        </w:drawing>
      </w:r>
    </w:p>
    <w:p w14:paraId="6E73BD7E" w14:textId="6C56E9D4" w:rsidR="001553A8" w:rsidRDefault="001553A8" w:rsidP="000B7A0A">
      <w:pPr>
        <w:jc w:val="both"/>
        <w:rPr>
          <w:noProof/>
        </w:rPr>
      </w:pPr>
      <w:r>
        <w:rPr>
          <w:noProof/>
        </w:rPr>
        <w:t>After removing time trends and seasonality effects, the Autocorrelation Functions of the Exchange rates USD to INR is</w:t>
      </w:r>
      <w:r w:rsidR="002269C4">
        <w:rPr>
          <w:noProof/>
        </w:rPr>
        <w:t xml:space="preserve"> clearly</w:t>
      </w:r>
      <w:r>
        <w:rPr>
          <w:noProof/>
        </w:rPr>
        <w:t xml:space="preserve"> Auto correlated to 0 lags </w:t>
      </w:r>
      <w:r w:rsidR="000B7A0A">
        <w:rPr>
          <w:noProof/>
        </w:rPr>
        <w:t>whereas the oil price shows autocorrelation upto 1 lag and first differenced forex reseves exhibits very little autocorrelation compred utpo lag 10 as compared to the log transformed and untransformed series. The ADF statistic of the series will now be considered</w:t>
      </w:r>
      <w:r w:rsidR="002269C4">
        <w:rPr>
          <w:noProof/>
        </w:rPr>
        <w:t xml:space="preserve"> to concretely determine stationarity.</w:t>
      </w:r>
    </w:p>
    <w:p w14:paraId="4149EC5F" w14:textId="77777777" w:rsidR="00CD27D5" w:rsidRDefault="00CD27D5" w:rsidP="000B7A0A">
      <w:pPr>
        <w:jc w:val="both"/>
        <w:rPr>
          <w:noProof/>
        </w:rPr>
      </w:pPr>
    </w:p>
    <w:p w14:paraId="28BA3496" w14:textId="398CE17F" w:rsidR="000B7A0A" w:rsidRDefault="000B7A0A" w:rsidP="000B7A0A">
      <w:pPr>
        <w:pStyle w:val="Caption"/>
        <w:keepNext/>
        <w:jc w:val="both"/>
      </w:pPr>
      <w:r>
        <w:t xml:space="preserve">Table </w:t>
      </w:r>
      <w:fldSimple w:instr=" SEQ Table \* ARABIC ">
        <w:r w:rsidR="00BC30D3">
          <w:rPr>
            <w:noProof/>
          </w:rPr>
          <w:t>4</w:t>
        </w:r>
      </w:fldSimple>
      <w:r>
        <w:t>: First Differenced Unit Root Detection</w:t>
      </w:r>
      <w:r w:rsidR="00CD27D5">
        <w:t xml:space="preserve">; </w:t>
      </w:r>
      <m:oMath>
        <m:sSub>
          <m:sSubPr>
            <m:ctrlPr>
              <w:rPr>
                <w:rFonts w:ascii="Cambria Math" w:hAnsi="Cambria Math"/>
                <w:i w:val="0"/>
              </w:rPr>
            </m:ctrlPr>
          </m:sSubPr>
          <m:e>
            <m:r>
              <w:rPr>
                <w:rFonts w:ascii="Cambria Math" w:hAnsi="Cambria Math"/>
              </w:rPr>
              <m:t>H</m:t>
            </m:r>
          </m:e>
          <m:sub>
            <m:r>
              <w:rPr>
                <w:rFonts w:ascii="Cambria Math" w:hAnsi="Cambria Math"/>
              </w:rPr>
              <m:t>0</m:t>
            </m:r>
          </m:sub>
        </m:sSub>
        <m:r>
          <w:rPr>
            <w:rFonts w:ascii="Cambria Math" w:hAnsi="Cambria Math"/>
          </w:rPr>
          <m:t>= Series is Non-Stationary</m:t>
        </m:r>
        <m:r>
          <w:rPr>
            <w:rFonts w:ascii="Cambria Math" w:eastAsiaTheme="minorEastAsia" w:hAnsi="Cambria Math"/>
          </w:rPr>
          <m:t xml:space="preserve">, </m:t>
        </m:r>
        <m:sSub>
          <m:sSubPr>
            <m:ctrlPr>
              <w:rPr>
                <w:rFonts w:ascii="Cambria Math" w:eastAsiaTheme="minorEastAsia" w:hAnsi="Cambria Math"/>
                <w:i w:val="0"/>
              </w:rPr>
            </m:ctrlPr>
          </m:sSubPr>
          <m:e>
            <m:r>
              <w:rPr>
                <w:rFonts w:ascii="Cambria Math" w:eastAsiaTheme="minorEastAsia" w:hAnsi="Cambria Math"/>
              </w:rPr>
              <m:t xml:space="preserve"> H</m:t>
            </m:r>
          </m:e>
          <m:sub>
            <m:r>
              <w:rPr>
                <w:rFonts w:ascii="Cambria Math" w:eastAsiaTheme="minorEastAsia" w:hAnsi="Cambria Math"/>
              </w:rPr>
              <m:t>a</m:t>
            </m:r>
          </m:sub>
        </m:sSub>
        <m:r>
          <w:rPr>
            <w:rFonts w:ascii="Cambria Math" w:eastAsiaTheme="minorEastAsia" w:hAnsi="Cambria Math"/>
          </w:rPr>
          <m:t>= Series is Stationary</m:t>
        </m:r>
      </m:oMath>
      <w:r w:rsidR="00CD27D5">
        <w:rPr>
          <w:rFonts w:eastAsiaTheme="minorEastAsia"/>
        </w:rPr>
        <w:t>, Lag order=10</w:t>
      </w:r>
    </w:p>
    <w:tbl>
      <w:tblPr>
        <w:tblStyle w:val="TableGrid"/>
        <w:tblW w:w="0" w:type="auto"/>
        <w:tblLook w:val="04A0" w:firstRow="1" w:lastRow="0" w:firstColumn="1" w:lastColumn="0" w:noHBand="0" w:noVBand="1"/>
      </w:tblPr>
      <w:tblGrid>
        <w:gridCol w:w="3003"/>
        <w:gridCol w:w="3003"/>
        <w:gridCol w:w="3004"/>
      </w:tblGrid>
      <w:tr w:rsidR="000B7A0A" w14:paraId="0841A272" w14:textId="77777777" w:rsidTr="000B7A0A">
        <w:tc>
          <w:tcPr>
            <w:tcW w:w="3003" w:type="dxa"/>
          </w:tcPr>
          <w:p w14:paraId="6966D82B" w14:textId="77777777" w:rsidR="000B7A0A" w:rsidRPr="00B233AB" w:rsidRDefault="000B7A0A" w:rsidP="000B7A0A">
            <w:pPr>
              <w:jc w:val="both"/>
              <w:rPr>
                <w:rFonts w:eastAsiaTheme="minorEastAsia"/>
                <w:i/>
                <w:iCs/>
              </w:rPr>
            </w:pPr>
            <w:r>
              <w:rPr>
                <w:rFonts w:eastAsiaTheme="minorEastAsia"/>
                <w:i/>
                <w:iCs/>
              </w:rPr>
              <w:t>Series</w:t>
            </w:r>
          </w:p>
        </w:tc>
        <w:tc>
          <w:tcPr>
            <w:tcW w:w="3003" w:type="dxa"/>
          </w:tcPr>
          <w:p w14:paraId="297FDC30" w14:textId="77777777" w:rsidR="000B7A0A" w:rsidRPr="00B233AB" w:rsidRDefault="000B7A0A" w:rsidP="000B7A0A">
            <w:pPr>
              <w:jc w:val="both"/>
              <w:rPr>
                <w:rFonts w:eastAsiaTheme="minorEastAsia"/>
                <w:i/>
                <w:iCs/>
              </w:rPr>
            </w:pPr>
            <w:r w:rsidRPr="00B233AB">
              <w:rPr>
                <w:rFonts w:eastAsiaTheme="minorEastAsia"/>
                <w:i/>
                <w:iCs/>
              </w:rPr>
              <w:t>ADF Statistic</w:t>
            </w:r>
          </w:p>
        </w:tc>
        <w:tc>
          <w:tcPr>
            <w:tcW w:w="3004" w:type="dxa"/>
          </w:tcPr>
          <w:p w14:paraId="292EECDD" w14:textId="77777777" w:rsidR="000B7A0A" w:rsidRPr="00B233AB" w:rsidRDefault="000B7A0A" w:rsidP="000B7A0A">
            <w:pPr>
              <w:jc w:val="both"/>
              <w:rPr>
                <w:rFonts w:eastAsiaTheme="minorEastAsia"/>
                <w:i/>
                <w:iCs/>
              </w:rPr>
            </w:pPr>
            <w:r w:rsidRPr="00B233AB">
              <w:rPr>
                <w:rFonts w:eastAsiaTheme="minorEastAsia"/>
                <w:i/>
                <w:iCs/>
              </w:rPr>
              <w:t>Probability</w:t>
            </w:r>
          </w:p>
        </w:tc>
      </w:tr>
      <w:tr w:rsidR="000B7A0A" w14:paraId="452AB1BD" w14:textId="77777777" w:rsidTr="000B7A0A">
        <w:tc>
          <w:tcPr>
            <w:tcW w:w="3003" w:type="dxa"/>
          </w:tcPr>
          <w:p w14:paraId="59019FD1" w14:textId="21D3821A" w:rsidR="000B7A0A" w:rsidRDefault="000B7A0A" w:rsidP="000B7A0A">
            <w:pPr>
              <w:jc w:val="both"/>
              <w:rPr>
                <w:rFonts w:eastAsiaTheme="minorEastAsia"/>
              </w:rPr>
            </w:pPr>
            <m:oMath>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t-1</m:t>
                  </m:r>
                </m:sub>
              </m:sSub>
            </m:oMath>
            <w:proofErr w:type="gramStart"/>
            <w:r>
              <w:rPr>
                <w:rFonts w:eastAsiaTheme="minorEastAsia"/>
              </w:rPr>
              <w:t>)  Crude</w:t>
            </w:r>
            <w:proofErr w:type="gramEnd"/>
            <w:r>
              <w:rPr>
                <w:rFonts w:eastAsiaTheme="minorEastAsia"/>
              </w:rPr>
              <w:t xml:space="preserve"> Oil Price</w:t>
            </w:r>
          </w:p>
        </w:tc>
        <w:tc>
          <w:tcPr>
            <w:tcW w:w="3003" w:type="dxa"/>
          </w:tcPr>
          <w:p w14:paraId="2E5CFBCE" w14:textId="7C68E497" w:rsidR="000B7A0A" w:rsidRDefault="000B7A0A" w:rsidP="000B7A0A">
            <w:pPr>
              <w:jc w:val="both"/>
              <w:rPr>
                <w:rFonts w:eastAsiaTheme="minorEastAsia"/>
              </w:rPr>
            </w:pPr>
            <w:r>
              <w:rPr>
                <w:rFonts w:eastAsiaTheme="minorEastAsia"/>
              </w:rPr>
              <w:t>-9.50</w:t>
            </w:r>
          </w:p>
        </w:tc>
        <w:tc>
          <w:tcPr>
            <w:tcW w:w="3004" w:type="dxa"/>
          </w:tcPr>
          <w:p w14:paraId="4034D05F" w14:textId="7784788B" w:rsidR="000B7A0A" w:rsidRDefault="000B7A0A" w:rsidP="000B7A0A">
            <w:pPr>
              <w:jc w:val="both"/>
              <w:rPr>
                <w:rFonts w:eastAsiaTheme="minorEastAsia"/>
              </w:rPr>
            </w:pPr>
            <w:r>
              <w:rPr>
                <w:rFonts w:eastAsiaTheme="minorEastAsia"/>
              </w:rPr>
              <w:t>0.01</w:t>
            </w:r>
          </w:p>
        </w:tc>
      </w:tr>
      <w:tr w:rsidR="000B7A0A" w14:paraId="18D43444" w14:textId="77777777" w:rsidTr="000B7A0A">
        <w:tc>
          <w:tcPr>
            <w:tcW w:w="3003" w:type="dxa"/>
          </w:tcPr>
          <w:p w14:paraId="11F188B6" w14:textId="0F113104" w:rsidR="000B7A0A" w:rsidRDefault="000B7A0A" w:rsidP="000B7A0A">
            <w:pPr>
              <w:jc w:val="both"/>
              <w:rPr>
                <w:rFonts w:eastAsiaTheme="minorEastAsia"/>
              </w:rPr>
            </w:pPr>
            <m:oMath>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t-1</m:t>
                  </m:r>
                </m:sub>
              </m:sSub>
            </m:oMath>
            <w:r>
              <w:rPr>
                <w:rFonts w:eastAsiaTheme="minorEastAsia"/>
              </w:rPr>
              <w:t>) Exchange Rates</w:t>
            </w:r>
          </w:p>
        </w:tc>
        <w:tc>
          <w:tcPr>
            <w:tcW w:w="3003" w:type="dxa"/>
          </w:tcPr>
          <w:p w14:paraId="7A167AEA" w14:textId="5D42D8CB" w:rsidR="000B7A0A" w:rsidRDefault="000B7A0A" w:rsidP="000B7A0A">
            <w:pPr>
              <w:jc w:val="both"/>
              <w:rPr>
                <w:rFonts w:eastAsiaTheme="minorEastAsia"/>
              </w:rPr>
            </w:pPr>
            <w:r>
              <w:rPr>
                <w:rFonts w:eastAsiaTheme="minorEastAsia"/>
              </w:rPr>
              <w:t>-9.97</w:t>
            </w:r>
          </w:p>
        </w:tc>
        <w:tc>
          <w:tcPr>
            <w:tcW w:w="3004" w:type="dxa"/>
          </w:tcPr>
          <w:p w14:paraId="4B766A2E" w14:textId="269D3199" w:rsidR="000B7A0A" w:rsidRDefault="000B7A0A" w:rsidP="000B7A0A">
            <w:pPr>
              <w:jc w:val="both"/>
              <w:rPr>
                <w:rFonts w:eastAsiaTheme="minorEastAsia"/>
              </w:rPr>
            </w:pPr>
            <w:r>
              <w:rPr>
                <w:rFonts w:eastAsiaTheme="minorEastAsia"/>
              </w:rPr>
              <w:t>0.01</w:t>
            </w:r>
          </w:p>
        </w:tc>
      </w:tr>
      <w:tr w:rsidR="000B7A0A" w14:paraId="1CABC44C" w14:textId="77777777" w:rsidTr="000B7A0A">
        <w:tc>
          <w:tcPr>
            <w:tcW w:w="3003" w:type="dxa"/>
          </w:tcPr>
          <w:p w14:paraId="1FE5C81B" w14:textId="7B1C11D1" w:rsidR="000B7A0A" w:rsidRDefault="000B7A0A" w:rsidP="000B7A0A">
            <w:pPr>
              <w:jc w:val="both"/>
              <w:rPr>
                <w:rFonts w:eastAsiaTheme="minorEastAsia"/>
              </w:rPr>
            </w:pPr>
            <m:oMath>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t-1</m:t>
                  </m:r>
                </m:sub>
              </m:sSub>
            </m:oMath>
            <w:r>
              <w:rPr>
                <w:rFonts w:eastAsiaTheme="minorEastAsia"/>
              </w:rPr>
              <w:t>) Forex Reserves</w:t>
            </w:r>
          </w:p>
        </w:tc>
        <w:tc>
          <w:tcPr>
            <w:tcW w:w="3003" w:type="dxa"/>
          </w:tcPr>
          <w:p w14:paraId="4D3A7E83" w14:textId="4048E545" w:rsidR="000B7A0A" w:rsidRDefault="000B7A0A" w:rsidP="000B7A0A">
            <w:pPr>
              <w:jc w:val="both"/>
              <w:rPr>
                <w:rFonts w:eastAsiaTheme="minorEastAsia"/>
              </w:rPr>
            </w:pPr>
            <w:r>
              <w:rPr>
                <w:rFonts w:eastAsiaTheme="minorEastAsia"/>
              </w:rPr>
              <w:t>-6.47</w:t>
            </w:r>
          </w:p>
        </w:tc>
        <w:tc>
          <w:tcPr>
            <w:tcW w:w="3004" w:type="dxa"/>
          </w:tcPr>
          <w:p w14:paraId="58144519" w14:textId="79B9431A" w:rsidR="000B7A0A" w:rsidRDefault="000B7A0A" w:rsidP="000B7A0A">
            <w:pPr>
              <w:jc w:val="both"/>
              <w:rPr>
                <w:rFonts w:eastAsiaTheme="minorEastAsia"/>
              </w:rPr>
            </w:pPr>
            <w:r>
              <w:rPr>
                <w:rFonts w:eastAsiaTheme="minorEastAsia"/>
              </w:rPr>
              <w:t>0.01</w:t>
            </w:r>
          </w:p>
        </w:tc>
      </w:tr>
    </w:tbl>
    <w:p w14:paraId="36C133DF" w14:textId="436DD7C1" w:rsidR="00B42AE3" w:rsidRDefault="00CD27D5" w:rsidP="000B7A0A">
      <w:pPr>
        <w:jc w:val="both"/>
      </w:pPr>
      <w:r>
        <w:t>Rejecting the null, series are stationary, spuriousness in regression is avoided.</w:t>
      </w:r>
    </w:p>
    <w:p w14:paraId="7EBF30F0" w14:textId="77777777" w:rsidR="00E75A57" w:rsidRDefault="00E75A57" w:rsidP="000B7A0A">
      <w:pPr>
        <w:jc w:val="both"/>
      </w:pPr>
    </w:p>
    <w:p w14:paraId="67FAEFC9" w14:textId="1F82FA0B" w:rsidR="00E75A57" w:rsidRDefault="00E75A57" w:rsidP="000B7A0A">
      <w:pPr>
        <w:jc w:val="both"/>
      </w:pPr>
      <w:r>
        <w:t>De-trended time Series:</w:t>
      </w:r>
    </w:p>
    <w:p w14:paraId="4A5742E5" w14:textId="77777777" w:rsidR="00E75A57" w:rsidRDefault="00E75A57" w:rsidP="000B7A0A">
      <w:pPr>
        <w:jc w:val="both"/>
      </w:pPr>
    </w:p>
    <w:p w14:paraId="7B80E3ED" w14:textId="29C6CA9A" w:rsidR="004D55C0" w:rsidRDefault="00E75A57" w:rsidP="000B7A0A">
      <w:pPr>
        <w:jc w:val="both"/>
      </w:pPr>
      <w:r w:rsidRPr="00E75A57">
        <w:rPr>
          <w:noProof/>
        </w:rPr>
        <w:drawing>
          <wp:inline distT="0" distB="0" distL="0" distR="0" wp14:anchorId="6160933B" wp14:editId="13FBF189">
            <wp:extent cx="1941443" cy="1478347"/>
            <wp:effectExtent l="0" t="0" r="190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r="4421" b="2686"/>
                    <a:stretch/>
                  </pic:blipFill>
                  <pic:spPr bwMode="auto">
                    <a:xfrm>
                      <a:off x="0" y="0"/>
                      <a:ext cx="1961991" cy="1493993"/>
                    </a:xfrm>
                    <a:prstGeom prst="rect">
                      <a:avLst/>
                    </a:prstGeom>
                    <a:ln>
                      <a:noFill/>
                    </a:ln>
                    <a:extLst>
                      <a:ext uri="{53640926-AAD7-44D8-BBD7-CCE9431645EC}">
                        <a14:shadowObscured xmlns:a14="http://schemas.microsoft.com/office/drawing/2010/main"/>
                      </a:ext>
                    </a:extLst>
                  </pic:spPr>
                </pic:pic>
              </a:graphicData>
            </a:graphic>
          </wp:inline>
        </w:drawing>
      </w:r>
      <w:r w:rsidRPr="00E75A57">
        <w:rPr>
          <w:noProof/>
        </w:rPr>
        <w:drawing>
          <wp:inline distT="0" distB="0" distL="0" distR="0" wp14:anchorId="54D4497A" wp14:editId="655963C6">
            <wp:extent cx="1975691" cy="1477617"/>
            <wp:effectExtent l="0" t="0" r="571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004025" cy="1498808"/>
                    </a:xfrm>
                    <a:prstGeom prst="rect">
                      <a:avLst/>
                    </a:prstGeom>
                  </pic:spPr>
                </pic:pic>
              </a:graphicData>
            </a:graphic>
          </wp:inline>
        </w:drawing>
      </w:r>
      <w:r w:rsidRPr="00E75A57">
        <w:rPr>
          <w:noProof/>
        </w:rPr>
        <w:drawing>
          <wp:inline distT="0" distB="0" distL="0" distR="0" wp14:anchorId="685C2486" wp14:editId="49DC76CF">
            <wp:extent cx="1755913" cy="1431871"/>
            <wp:effectExtent l="0" t="0" r="0"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r="8284"/>
                    <a:stretch/>
                  </pic:blipFill>
                  <pic:spPr bwMode="auto">
                    <a:xfrm>
                      <a:off x="0" y="0"/>
                      <a:ext cx="1769471" cy="1442927"/>
                    </a:xfrm>
                    <a:prstGeom prst="rect">
                      <a:avLst/>
                    </a:prstGeom>
                    <a:ln>
                      <a:noFill/>
                    </a:ln>
                    <a:extLst>
                      <a:ext uri="{53640926-AAD7-44D8-BBD7-CCE9431645EC}">
                        <a14:shadowObscured xmlns:a14="http://schemas.microsoft.com/office/drawing/2010/main"/>
                      </a:ext>
                    </a:extLst>
                  </pic:spPr>
                </pic:pic>
              </a:graphicData>
            </a:graphic>
          </wp:inline>
        </w:drawing>
      </w:r>
    </w:p>
    <w:p w14:paraId="5349DBE0" w14:textId="3FAF8830" w:rsidR="000E6460" w:rsidRDefault="00920E2F" w:rsidP="007F6304">
      <w:pPr>
        <w:jc w:val="center"/>
      </w:pPr>
      <w:r>
        <w:t>Regression</w:t>
      </w:r>
    </w:p>
    <w:p w14:paraId="36441AC4" w14:textId="30A05339" w:rsidR="000F3511" w:rsidRDefault="000F3511" w:rsidP="000F3511">
      <w:pPr>
        <w:rPr>
          <w:rFonts w:eastAsiaTheme="minorEastAsia"/>
        </w:rPr>
      </w:pPr>
      <m:oMath>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)Forex Reserve=</m:t>
        </m:r>
        <m:acc>
          <m:accPr>
            <m:ctrlPr>
              <w:rPr>
                <w:rFonts w:ascii="Cambria Math" w:hAnsi="Cambria Math"/>
                <w:i/>
              </w:rPr>
            </m:ctrlPr>
          </m:accPr>
          <m:e>
            <m:r>
              <w:rPr>
                <w:rFonts w:ascii="Cambria Math" w:hAnsi="Cambria Math"/>
              </w:rPr>
              <m:t>α</m:t>
            </m:r>
          </m:e>
        </m:acc>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β</m:t>
                </m:r>
              </m:e>
            </m:acc>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)Oil Price+</m:t>
        </m:r>
        <m:sSub>
          <m:sSubPr>
            <m:ctrlPr>
              <w:rPr>
                <w:rFonts w:ascii="Cambria Math" w:hAnsi="Cambria Math"/>
                <w:i/>
              </w:rPr>
            </m:ctrlPr>
          </m:sSubPr>
          <m:e>
            <m:acc>
              <m:accPr>
                <m:ctrlPr>
                  <w:rPr>
                    <w:rFonts w:ascii="Cambria Math" w:hAnsi="Cambria Math"/>
                    <w:i/>
                  </w:rPr>
                </m:ctrlPr>
              </m:accPr>
              <m:e>
                <m:r>
                  <w:rPr>
                    <w:rFonts w:ascii="Cambria Math" w:hAnsi="Cambria Math"/>
                  </w:rPr>
                  <m:t>β</m:t>
                </m:r>
              </m:e>
            </m:acc>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)ExchangeRate</m:t>
        </m:r>
      </m:oMath>
      <w:r>
        <w:rPr>
          <w:rFonts w:eastAsiaTheme="minorEastAsia"/>
        </w:rPr>
        <w:t xml:space="preserve"> </w:t>
      </w:r>
    </w:p>
    <w:p w14:paraId="178A6C7C" w14:textId="053545CE" w:rsidR="00920E2F" w:rsidRDefault="00920E2F" w:rsidP="00920E2F"/>
    <w:p w14:paraId="76A342BA" w14:textId="47D9035E" w:rsidR="00B42AE3" w:rsidRDefault="00B157F6" w:rsidP="000B7A0A">
      <w:pPr>
        <w:jc w:val="both"/>
      </w:pPr>
      <m:oMathPara>
        <m:oMath>
          <m:acc>
            <m:accPr>
              <m:ctrlPr>
                <w:rPr>
                  <w:rFonts w:ascii="Cambria Math" w:hAnsi="Cambria Math"/>
                  <w:i/>
                </w:rPr>
              </m:ctrlPr>
            </m:accPr>
            <m:e>
              <m:r>
                <w:rPr>
                  <w:rFonts w:ascii="Cambria Math" w:hAnsi="Cambria Math"/>
                </w:rPr>
                <m:t>α</m:t>
              </m:r>
            </m:e>
          </m:acc>
          <m:r>
            <w:rPr>
              <w:rFonts w:ascii="Cambria Math" w:hAnsi="Cambria Math"/>
            </w:rPr>
            <m:t xml:space="preserve">=411.86,  </m:t>
          </m:r>
          <m:sSub>
            <m:sSubPr>
              <m:ctrlPr>
                <w:rPr>
                  <w:rFonts w:ascii="Cambria Math" w:hAnsi="Cambria Math"/>
                  <w:i/>
                </w:rPr>
              </m:ctrlPr>
            </m:sSubPr>
            <m:e>
              <m:acc>
                <m:accPr>
                  <m:ctrlPr>
                    <w:rPr>
                      <w:rFonts w:ascii="Cambria Math" w:hAnsi="Cambria Math"/>
                      <w:i/>
                    </w:rPr>
                  </m:ctrlPr>
                </m:accPr>
                <m:e>
                  <m:r>
                    <w:rPr>
                      <w:rFonts w:ascii="Cambria Math" w:hAnsi="Cambria Math"/>
                    </w:rPr>
                    <m:t>β</m:t>
                  </m:r>
                </m:e>
              </m:acc>
            </m:e>
            <m:sub>
              <m:r>
                <w:rPr>
                  <w:rFonts w:ascii="Cambria Math" w:hAnsi="Cambria Math"/>
                </w:rPr>
                <m:t>1</m:t>
              </m:r>
            </m:sub>
          </m:sSub>
          <m:r>
            <w:rPr>
              <w:rFonts w:ascii="Cambria Math" w:hAnsi="Cambria Math"/>
            </w:rPr>
            <m:t xml:space="preserve">=157.82  ,  </m:t>
          </m:r>
          <m:sSub>
            <m:sSubPr>
              <m:ctrlPr>
                <w:rPr>
                  <w:rFonts w:ascii="Cambria Math" w:hAnsi="Cambria Math"/>
                  <w:i/>
                </w:rPr>
              </m:ctrlPr>
            </m:sSubPr>
            <m:e>
              <m:acc>
                <m:accPr>
                  <m:ctrlPr>
                    <w:rPr>
                      <w:rFonts w:ascii="Cambria Math" w:hAnsi="Cambria Math"/>
                      <w:i/>
                    </w:rPr>
                  </m:ctrlPr>
                </m:accPr>
                <m:e>
                  <m:r>
                    <w:rPr>
                      <w:rFonts w:ascii="Cambria Math" w:hAnsi="Cambria Math"/>
                    </w:rPr>
                    <m:t>β</m:t>
                  </m:r>
                </m:e>
              </m:acc>
            </m:e>
            <m:sub>
              <m:r>
                <w:rPr>
                  <w:rFonts w:ascii="Cambria Math" w:hAnsi="Cambria Math"/>
                </w:rPr>
                <m:t>2</m:t>
              </m:r>
            </m:sub>
          </m:sSub>
          <m:r>
            <w:rPr>
              <w:rFonts w:ascii="Cambria Math" w:hAnsi="Cambria Math"/>
            </w:rPr>
            <m:t>=-1212.57</m:t>
          </m:r>
        </m:oMath>
      </m:oMathPara>
    </w:p>
    <w:p w14:paraId="13F62D6B" w14:textId="77777777" w:rsidR="000E6460" w:rsidRDefault="000E6460" w:rsidP="000B7A0A">
      <w:pPr>
        <w:jc w:val="both"/>
      </w:pPr>
    </w:p>
    <w:p w14:paraId="5806C7BB" w14:textId="640F3A73" w:rsidR="00B8406F" w:rsidRDefault="000E6460" w:rsidP="00B8406F">
      <w:pPr>
        <w:jc w:val="both"/>
      </w:pPr>
      <w:r>
        <w:t xml:space="preserve">The regression model here shows that there is a </w:t>
      </w:r>
      <w:r w:rsidR="007F6304">
        <w:t>posi</w:t>
      </w:r>
      <w:r>
        <w:t xml:space="preserve">tive relation between oil price and Foreign Exchange Reserves, and a </w:t>
      </w:r>
      <w:r w:rsidR="007F6304">
        <w:t>nega</w:t>
      </w:r>
      <w:r>
        <w:t xml:space="preserve">tive relation between Exchange rate and Forex Reserve. This Relation is </w:t>
      </w:r>
      <w:r w:rsidR="007F6304">
        <w:t xml:space="preserve">not </w:t>
      </w:r>
      <w:r>
        <w:t>intuitive</w:t>
      </w:r>
      <w:r w:rsidR="007F6304">
        <w:t>, but this could because</w:t>
      </w:r>
      <w:r>
        <w:t xml:space="preserve"> </w:t>
      </w:r>
      <w:r w:rsidR="00B8406F">
        <w:t xml:space="preserve">increase </w:t>
      </w:r>
      <w:r>
        <w:t>in</w:t>
      </w:r>
      <w:r w:rsidR="00B8406F">
        <w:t xml:space="preserve"> oil price </w:t>
      </w:r>
      <w:r w:rsidR="007F6304">
        <w:t>would mean increasing foreign currency assets to meet import demand</w:t>
      </w:r>
      <w:r w:rsidR="00B8406F">
        <w:t xml:space="preserve">. On the other hand, an increase in </w:t>
      </w:r>
      <w:r w:rsidR="00B8406F">
        <w:lastRenderedPageBreak/>
        <w:t>exchange rate USD/INR</w:t>
      </w:r>
      <w:r w:rsidR="007F6304">
        <w:t xml:space="preserve"> (devaluation of rupee</w:t>
      </w:r>
      <w:r w:rsidR="00C136DE">
        <w:t>)</w:t>
      </w:r>
      <w:r w:rsidR="00B8406F">
        <w:t xml:space="preserve"> the value of forex reserves </w:t>
      </w:r>
      <w:r w:rsidR="007F6304">
        <w:t>de</w:t>
      </w:r>
      <w:r w:rsidR="00B8406F">
        <w:t xml:space="preserve">creases </w:t>
      </w:r>
      <w:proofErr w:type="gramStart"/>
      <w:r w:rsidR="00B8406F">
        <w:t>as well</w:t>
      </w:r>
      <w:r w:rsidR="007F6304">
        <w:t xml:space="preserve"> it</w:t>
      </w:r>
      <w:proofErr w:type="gramEnd"/>
      <w:r w:rsidR="007F6304">
        <w:t xml:space="preserve"> becomes expensive to buy foreign currency</w:t>
      </w:r>
      <w:r w:rsidR="00B8406F">
        <w:t xml:space="preserve">. </w:t>
      </w:r>
      <w:proofErr w:type="gramStart"/>
      <w:r w:rsidR="00BC30D3">
        <w:t>So</w:t>
      </w:r>
      <w:proofErr w:type="gramEnd"/>
      <w:r w:rsidR="00BC30D3">
        <w:t xml:space="preserve"> when rupee gets stronger relative to USD, Foreign Currency reserves held by RBI Increase. </w:t>
      </w:r>
      <w:r w:rsidR="00B8406F">
        <w:t>In order to make the magnitude interpretable, the percentage change of series can be considered. The percentage change series for each variable is taken by first creating a lagged series,</w:t>
      </w:r>
      <w:r w:rsidR="00C136DE">
        <w:t xml:space="preserve"> </w:t>
      </w:r>
      <m:oMath>
        <m:sSub>
          <m:sSubPr>
            <m:ctrlPr>
              <w:rPr>
                <w:rFonts w:ascii="Cambria Math" w:hAnsi="Cambria Math"/>
                <w:i/>
              </w:rPr>
            </m:ctrlPr>
          </m:sSubPr>
          <m:e>
            <m:r>
              <w:rPr>
                <w:rFonts w:ascii="Cambria Math" w:hAnsi="Cambria Math"/>
              </w:rPr>
              <m:t>y</m:t>
            </m:r>
          </m:e>
          <m:sub>
            <m:r>
              <w:rPr>
                <w:rFonts w:ascii="Cambria Math" w:hAnsi="Cambria Math"/>
              </w:rPr>
              <m:t>t-1</m:t>
            </m:r>
          </m:sub>
        </m:sSub>
      </m:oMath>
      <w:r w:rsidR="00C136DE">
        <w:rPr>
          <w:rFonts w:eastAsiaTheme="minorEastAsia"/>
        </w:rPr>
        <w:t xml:space="preserve"> and then taking a series</w:t>
      </w:r>
    </w:p>
    <w:p w14:paraId="3D40B640" w14:textId="25DB0919" w:rsidR="00CD27D5" w:rsidRPr="00CD27D5" w:rsidRDefault="00B8406F" w:rsidP="00CD27D5">
      <w:pPr>
        <w:jc w:val="both"/>
        <w:rPr>
          <w:rFonts w:eastAsiaTheme="minorEastAsia"/>
        </w:rPr>
      </w:pPr>
      <w:r>
        <w:t xml:space="preserve"> (</w:t>
      </w:r>
      <m:oMath>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t-1</m:t>
            </m:r>
          </m:sub>
        </m:sSub>
        <m:r>
          <w:rPr>
            <w:rFonts w:ascii="Cambria Math" w:hAnsi="Cambria Math"/>
          </w:rPr>
          <m:t>)*100</m:t>
        </m:r>
      </m:oMath>
      <w:r>
        <w:rPr>
          <w:rFonts w:eastAsiaTheme="minorEastAsia"/>
        </w:rPr>
        <w:t>. Performing Unit root test on Percentage change variables:</w:t>
      </w:r>
    </w:p>
    <w:p w14:paraId="0B247C21" w14:textId="3FDA8583" w:rsidR="00B8406F" w:rsidRDefault="00B8406F" w:rsidP="00B8406F">
      <w:pPr>
        <w:pStyle w:val="Caption"/>
        <w:keepNext/>
        <w:jc w:val="both"/>
      </w:pPr>
      <w:r>
        <w:t>Table 5: First Differenced Unit Root Detection</w:t>
      </w:r>
      <w:r w:rsidR="00CD27D5">
        <w:t xml:space="preserve">, </w:t>
      </w:r>
      <m:oMath>
        <m:sSub>
          <m:sSubPr>
            <m:ctrlPr>
              <w:rPr>
                <w:rFonts w:ascii="Cambria Math" w:hAnsi="Cambria Math"/>
                <w:i w:val="0"/>
              </w:rPr>
            </m:ctrlPr>
          </m:sSubPr>
          <m:e>
            <m:r>
              <w:rPr>
                <w:rFonts w:ascii="Cambria Math" w:hAnsi="Cambria Math"/>
              </w:rPr>
              <m:t>H</m:t>
            </m:r>
          </m:e>
          <m:sub>
            <m:r>
              <w:rPr>
                <w:rFonts w:ascii="Cambria Math" w:hAnsi="Cambria Math"/>
              </w:rPr>
              <m:t>0</m:t>
            </m:r>
          </m:sub>
        </m:sSub>
        <m:r>
          <w:rPr>
            <w:rFonts w:ascii="Cambria Math" w:hAnsi="Cambria Math"/>
          </w:rPr>
          <m:t>= Series is Non-Stationary</m:t>
        </m:r>
        <m:r>
          <w:rPr>
            <w:rFonts w:ascii="Cambria Math" w:eastAsiaTheme="minorEastAsia" w:hAnsi="Cambria Math"/>
          </w:rPr>
          <m:t xml:space="preserve">, </m:t>
        </m:r>
        <m:sSub>
          <m:sSubPr>
            <m:ctrlPr>
              <w:rPr>
                <w:rFonts w:ascii="Cambria Math" w:eastAsiaTheme="minorEastAsia" w:hAnsi="Cambria Math"/>
                <w:i w:val="0"/>
              </w:rPr>
            </m:ctrlPr>
          </m:sSubPr>
          <m:e>
            <m:r>
              <w:rPr>
                <w:rFonts w:ascii="Cambria Math" w:eastAsiaTheme="minorEastAsia" w:hAnsi="Cambria Math"/>
              </w:rPr>
              <m:t xml:space="preserve"> H</m:t>
            </m:r>
          </m:e>
          <m:sub>
            <m:r>
              <w:rPr>
                <w:rFonts w:ascii="Cambria Math" w:eastAsiaTheme="minorEastAsia" w:hAnsi="Cambria Math"/>
              </w:rPr>
              <m:t>a</m:t>
            </m:r>
          </m:sub>
        </m:sSub>
        <m:r>
          <w:rPr>
            <w:rFonts w:ascii="Cambria Math" w:eastAsiaTheme="minorEastAsia" w:hAnsi="Cambria Math"/>
          </w:rPr>
          <m:t>= Series is Stationary</m:t>
        </m:r>
      </m:oMath>
      <w:r w:rsidR="00CD27D5">
        <w:rPr>
          <w:rFonts w:eastAsiaTheme="minorEastAsia"/>
        </w:rPr>
        <w:t>, Lag order=10</w:t>
      </w:r>
    </w:p>
    <w:tbl>
      <w:tblPr>
        <w:tblStyle w:val="TableGrid"/>
        <w:tblW w:w="0" w:type="auto"/>
        <w:tblLook w:val="04A0" w:firstRow="1" w:lastRow="0" w:firstColumn="1" w:lastColumn="0" w:noHBand="0" w:noVBand="1"/>
      </w:tblPr>
      <w:tblGrid>
        <w:gridCol w:w="3003"/>
        <w:gridCol w:w="3003"/>
        <w:gridCol w:w="3004"/>
      </w:tblGrid>
      <w:tr w:rsidR="00B8406F" w14:paraId="5670A144" w14:textId="77777777" w:rsidTr="00B8406F">
        <w:tc>
          <w:tcPr>
            <w:tcW w:w="3003" w:type="dxa"/>
          </w:tcPr>
          <w:p w14:paraId="11BAC58C" w14:textId="77777777" w:rsidR="00B8406F" w:rsidRPr="00B233AB" w:rsidRDefault="00B8406F" w:rsidP="00B8406F">
            <w:pPr>
              <w:jc w:val="both"/>
              <w:rPr>
                <w:rFonts w:eastAsiaTheme="minorEastAsia"/>
                <w:i/>
                <w:iCs/>
              </w:rPr>
            </w:pPr>
            <w:r>
              <w:rPr>
                <w:rFonts w:eastAsiaTheme="minorEastAsia"/>
                <w:i/>
                <w:iCs/>
              </w:rPr>
              <w:t>Series</w:t>
            </w:r>
          </w:p>
        </w:tc>
        <w:tc>
          <w:tcPr>
            <w:tcW w:w="3003" w:type="dxa"/>
          </w:tcPr>
          <w:p w14:paraId="4539513E" w14:textId="77777777" w:rsidR="00B8406F" w:rsidRPr="00B233AB" w:rsidRDefault="00B8406F" w:rsidP="00B8406F">
            <w:pPr>
              <w:jc w:val="both"/>
              <w:rPr>
                <w:rFonts w:eastAsiaTheme="minorEastAsia"/>
                <w:i/>
                <w:iCs/>
              </w:rPr>
            </w:pPr>
            <w:r w:rsidRPr="00B233AB">
              <w:rPr>
                <w:rFonts w:eastAsiaTheme="minorEastAsia"/>
                <w:i/>
                <w:iCs/>
              </w:rPr>
              <w:t>ADF Statistic</w:t>
            </w:r>
          </w:p>
        </w:tc>
        <w:tc>
          <w:tcPr>
            <w:tcW w:w="3004" w:type="dxa"/>
          </w:tcPr>
          <w:p w14:paraId="42EE9901" w14:textId="77777777" w:rsidR="00B8406F" w:rsidRPr="00B233AB" w:rsidRDefault="00B8406F" w:rsidP="00B8406F">
            <w:pPr>
              <w:jc w:val="both"/>
              <w:rPr>
                <w:rFonts w:eastAsiaTheme="minorEastAsia"/>
                <w:i/>
                <w:iCs/>
              </w:rPr>
            </w:pPr>
            <w:r w:rsidRPr="00B233AB">
              <w:rPr>
                <w:rFonts w:eastAsiaTheme="minorEastAsia"/>
                <w:i/>
                <w:iCs/>
              </w:rPr>
              <w:t>Probability</w:t>
            </w:r>
          </w:p>
        </w:tc>
      </w:tr>
      <w:tr w:rsidR="00B8406F" w14:paraId="49ED7C90" w14:textId="77777777" w:rsidTr="00B8406F">
        <w:tc>
          <w:tcPr>
            <w:tcW w:w="3003" w:type="dxa"/>
          </w:tcPr>
          <w:p w14:paraId="39E788BE" w14:textId="41C7ABA7" w:rsidR="00B8406F" w:rsidRDefault="00CD27D5" w:rsidP="00B8406F">
            <w:pPr>
              <w:jc w:val="both"/>
              <w:rPr>
                <w:rFonts w:eastAsiaTheme="minorEastAsia"/>
              </w:rPr>
            </w:pPr>
            <m:oMath>
              <m:r>
                <w:rPr>
                  <w:rFonts w:ascii="Cambria Math" w:hAnsi="Cambria Math"/>
                </w:rPr>
                <m:t>%△</m:t>
              </m:r>
            </m:oMath>
            <w:r w:rsidR="00B8406F">
              <w:rPr>
                <w:rFonts w:eastAsiaTheme="minorEastAsia"/>
              </w:rPr>
              <w:t xml:space="preserve">  Crude Oil Price</w:t>
            </w:r>
          </w:p>
        </w:tc>
        <w:tc>
          <w:tcPr>
            <w:tcW w:w="3003" w:type="dxa"/>
          </w:tcPr>
          <w:p w14:paraId="0275AF1A" w14:textId="6E272175" w:rsidR="00B8406F" w:rsidRDefault="00B8406F" w:rsidP="00B8406F">
            <w:pPr>
              <w:jc w:val="both"/>
              <w:rPr>
                <w:rFonts w:eastAsiaTheme="minorEastAsia"/>
              </w:rPr>
            </w:pPr>
            <w:r>
              <w:rPr>
                <w:rFonts w:eastAsiaTheme="minorEastAsia"/>
              </w:rPr>
              <w:t>-</w:t>
            </w:r>
            <w:r w:rsidR="00CD27D5">
              <w:rPr>
                <w:rFonts w:eastAsiaTheme="minorEastAsia"/>
              </w:rPr>
              <w:t>10.20</w:t>
            </w:r>
          </w:p>
        </w:tc>
        <w:tc>
          <w:tcPr>
            <w:tcW w:w="3004" w:type="dxa"/>
          </w:tcPr>
          <w:p w14:paraId="77CB3642" w14:textId="129D8311" w:rsidR="00B8406F" w:rsidRDefault="00B8406F" w:rsidP="00B8406F">
            <w:pPr>
              <w:jc w:val="both"/>
              <w:rPr>
                <w:rFonts w:eastAsiaTheme="minorEastAsia"/>
              </w:rPr>
            </w:pPr>
            <w:r>
              <w:rPr>
                <w:rFonts w:eastAsiaTheme="minorEastAsia"/>
              </w:rPr>
              <w:t>0.01</w:t>
            </w:r>
          </w:p>
        </w:tc>
      </w:tr>
      <w:tr w:rsidR="00B8406F" w14:paraId="3E0D7E1B" w14:textId="77777777" w:rsidTr="00B8406F">
        <w:tc>
          <w:tcPr>
            <w:tcW w:w="3003" w:type="dxa"/>
          </w:tcPr>
          <w:p w14:paraId="36D07129" w14:textId="3AA87597" w:rsidR="00B8406F" w:rsidRDefault="00CD27D5" w:rsidP="00B8406F">
            <w:pPr>
              <w:jc w:val="both"/>
              <w:rPr>
                <w:rFonts w:eastAsiaTheme="minorEastAsia"/>
              </w:rPr>
            </w:pPr>
            <m:oMath>
              <m:r>
                <w:rPr>
                  <w:rFonts w:ascii="Cambria Math" w:hAnsi="Cambria Math"/>
                </w:rPr>
                <m:t>%△</m:t>
              </m:r>
            </m:oMath>
            <w:r w:rsidR="00B8406F">
              <w:rPr>
                <w:rFonts w:eastAsiaTheme="minorEastAsia"/>
              </w:rPr>
              <w:t xml:space="preserve"> Exchange Rates</w:t>
            </w:r>
          </w:p>
        </w:tc>
        <w:tc>
          <w:tcPr>
            <w:tcW w:w="3003" w:type="dxa"/>
          </w:tcPr>
          <w:p w14:paraId="75920B5B" w14:textId="59B3D7F5" w:rsidR="00B8406F" w:rsidRDefault="00B8406F" w:rsidP="00B8406F">
            <w:pPr>
              <w:jc w:val="both"/>
              <w:rPr>
                <w:rFonts w:eastAsiaTheme="minorEastAsia"/>
              </w:rPr>
            </w:pPr>
            <w:r>
              <w:rPr>
                <w:rFonts w:eastAsiaTheme="minorEastAsia"/>
              </w:rPr>
              <w:t>-</w:t>
            </w:r>
            <w:r w:rsidR="00CD27D5">
              <w:rPr>
                <w:rFonts w:eastAsiaTheme="minorEastAsia"/>
              </w:rPr>
              <w:t>10.09</w:t>
            </w:r>
          </w:p>
        </w:tc>
        <w:tc>
          <w:tcPr>
            <w:tcW w:w="3004" w:type="dxa"/>
          </w:tcPr>
          <w:p w14:paraId="7ECA9D9D" w14:textId="1613D9F7" w:rsidR="00B8406F" w:rsidRDefault="00B8406F" w:rsidP="00B8406F">
            <w:pPr>
              <w:jc w:val="both"/>
              <w:rPr>
                <w:rFonts w:eastAsiaTheme="minorEastAsia"/>
              </w:rPr>
            </w:pPr>
            <w:r>
              <w:rPr>
                <w:rFonts w:eastAsiaTheme="minorEastAsia"/>
              </w:rPr>
              <w:t>0.01</w:t>
            </w:r>
          </w:p>
        </w:tc>
      </w:tr>
      <w:tr w:rsidR="00B8406F" w14:paraId="5BD05467" w14:textId="77777777" w:rsidTr="00B8406F">
        <w:tc>
          <w:tcPr>
            <w:tcW w:w="3003" w:type="dxa"/>
          </w:tcPr>
          <w:p w14:paraId="26ABA535" w14:textId="71280037" w:rsidR="00B8406F" w:rsidRDefault="00CD27D5" w:rsidP="00B8406F">
            <w:pPr>
              <w:jc w:val="both"/>
              <w:rPr>
                <w:rFonts w:eastAsiaTheme="minorEastAsia"/>
              </w:rPr>
            </w:pPr>
            <m:oMath>
              <m:r>
                <w:rPr>
                  <w:rFonts w:ascii="Cambria Math" w:hAnsi="Cambria Math"/>
                </w:rPr>
                <m:t>%△</m:t>
              </m:r>
            </m:oMath>
            <w:r w:rsidR="00B8406F">
              <w:rPr>
                <w:rFonts w:eastAsiaTheme="minorEastAsia"/>
              </w:rPr>
              <w:t xml:space="preserve"> Forex Reserves</w:t>
            </w:r>
          </w:p>
        </w:tc>
        <w:tc>
          <w:tcPr>
            <w:tcW w:w="3003" w:type="dxa"/>
          </w:tcPr>
          <w:p w14:paraId="21ED9C1A" w14:textId="27EBA489" w:rsidR="00B8406F" w:rsidRDefault="00B8406F" w:rsidP="00B8406F">
            <w:pPr>
              <w:jc w:val="both"/>
              <w:rPr>
                <w:rFonts w:eastAsiaTheme="minorEastAsia"/>
              </w:rPr>
            </w:pPr>
            <w:r>
              <w:rPr>
                <w:rFonts w:eastAsiaTheme="minorEastAsia"/>
              </w:rPr>
              <w:t>-</w:t>
            </w:r>
            <w:r w:rsidR="00CD27D5">
              <w:rPr>
                <w:rFonts w:eastAsiaTheme="minorEastAsia"/>
              </w:rPr>
              <w:t>7.42</w:t>
            </w:r>
          </w:p>
        </w:tc>
        <w:tc>
          <w:tcPr>
            <w:tcW w:w="3004" w:type="dxa"/>
          </w:tcPr>
          <w:p w14:paraId="338A4D9D" w14:textId="77777777" w:rsidR="00B8406F" w:rsidRDefault="00B8406F" w:rsidP="00B8406F">
            <w:pPr>
              <w:jc w:val="both"/>
              <w:rPr>
                <w:rFonts w:eastAsiaTheme="minorEastAsia"/>
              </w:rPr>
            </w:pPr>
            <w:r>
              <w:rPr>
                <w:rFonts w:eastAsiaTheme="minorEastAsia"/>
              </w:rPr>
              <w:t>0.01</w:t>
            </w:r>
          </w:p>
        </w:tc>
      </w:tr>
    </w:tbl>
    <w:p w14:paraId="7116937D" w14:textId="4DBBB131" w:rsidR="00B42AE3" w:rsidRDefault="00CD27D5" w:rsidP="000B7A0A">
      <w:pPr>
        <w:jc w:val="both"/>
      </w:pPr>
      <w:r>
        <w:t xml:space="preserve">Since </w:t>
      </w:r>
      <w:r w:rsidR="008C143C">
        <w:t xml:space="preserve">log transformed series were non-stationary, the percentage growth series was calculated for better comprehensibility of the regression coefficients. The percentage growth series </w:t>
      </w:r>
      <w:r w:rsidR="00A32E29">
        <w:t xml:space="preserve">are </w:t>
      </w:r>
      <w:r w:rsidR="008C143C">
        <w:t>stationary as shown by Dickey Fuller test results.</w:t>
      </w:r>
    </w:p>
    <w:p w14:paraId="4D49173C" w14:textId="080D28F9" w:rsidR="00B42AE3" w:rsidRDefault="00B42AE3" w:rsidP="000B7A0A">
      <w:pPr>
        <w:jc w:val="both"/>
      </w:pPr>
    </w:p>
    <w:p w14:paraId="1D4DBD75" w14:textId="04772F35" w:rsidR="00A32E29" w:rsidRDefault="00A32E29" w:rsidP="00A32E29">
      <w:pPr>
        <w:rPr>
          <w:rFonts w:eastAsiaTheme="minorEastAsia"/>
        </w:rPr>
      </w:pPr>
      <m:oMath>
        <m:r>
          <w:rPr>
            <w:rFonts w:ascii="Cambria Math" w:hAnsi="Cambria Math"/>
          </w:rPr>
          <m:t>(%△)Forex Reserve=</m:t>
        </m:r>
        <m:acc>
          <m:accPr>
            <m:ctrlPr>
              <w:rPr>
                <w:rFonts w:ascii="Cambria Math" w:hAnsi="Cambria Math"/>
                <w:i/>
              </w:rPr>
            </m:ctrlPr>
          </m:accPr>
          <m:e>
            <m:r>
              <w:rPr>
                <w:rFonts w:ascii="Cambria Math" w:hAnsi="Cambria Math"/>
              </w:rPr>
              <m:t>α</m:t>
            </m:r>
          </m:e>
        </m:acc>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β</m:t>
                </m:r>
              </m:e>
            </m:acc>
          </m:e>
          <m:sub>
            <m:r>
              <w:rPr>
                <w:rFonts w:ascii="Cambria Math" w:hAnsi="Cambria Math"/>
              </w:rPr>
              <m:t>1</m:t>
            </m:r>
          </m:sub>
        </m:sSub>
        <m:r>
          <w:rPr>
            <w:rFonts w:ascii="Cambria Math" w:hAnsi="Cambria Math"/>
          </w:rPr>
          <m:t>(%△)Oil Price+</m:t>
        </m:r>
        <m:sSub>
          <m:sSubPr>
            <m:ctrlPr>
              <w:rPr>
                <w:rFonts w:ascii="Cambria Math" w:hAnsi="Cambria Math"/>
                <w:i/>
              </w:rPr>
            </m:ctrlPr>
          </m:sSubPr>
          <m:e>
            <m:acc>
              <m:accPr>
                <m:ctrlPr>
                  <w:rPr>
                    <w:rFonts w:ascii="Cambria Math" w:hAnsi="Cambria Math"/>
                    <w:i/>
                  </w:rPr>
                </m:ctrlPr>
              </m:accPr>
              <m:e>
                <m:r>
                  <w:rPr>
                    <w:rFonts w:ascii="Cambria Math" w:hAnsi="Cambria Math"/>
                  </w:rPr>
                  <m:t>β</m:t>
                </m:r>
              </m:e>
            </m:acc>
          </m:e>
          <m:sub>
            <m:r>
              <w:rPr>
                <w:rFonts w:ascii="Cambria Math" w:hAnsi="Cambria Math"/>
              </w:rPr>
              <m:t>2</m:t>
            </m:r>
          </m:sub>
        </m:sSub>
        <m:r>
          <w:rPr>
            <w:rFonts w:ascii="Cambria Math" w:hAnsi="Cambria Math"/>
          </w:rPr>
          <m:t>(%△)ExchangeRate</m:t>
        </m:r>
      </m:oMath>
      <w:r>
        <w:rPr>
          <w:rFonts w:eastAsiaTheme="minorEastAsia"/>
        </w:rPr>
        <w:t xml:space="preserve"> </w:t>
      </w:r>
    </w:p>
    <w:p w14:paraId="4A69E7AD" w14:textId="77777777" w:rsidR="00A32E29" w:rsidRDefault="00A32E29" w:rsidP="00A32E29"/>
    <w:p w14:paraId="5BE9BE33" w14:textId="5DE2E9C5" w:rsidR="00A32E29" w:rsidRDefault="00B157F6" w:rsidP="00A32E29">
      <w:pPr>
        <w:jc w:val="both"/>
      </w:pPr>
      <m:oMathPara>
        <m:oMath>
          <m:acc>
            <m:accPr>
              <m:ctrlPr>
                <w:rPr>
                  <w:rFonts w:ascii="Cambria Math" w:hAnsi="Cambria Math"/>
                  <w:i/>
                </w:rPr>
              </m:ctrlPr>
            </m:accPr>
            <m:e>
              <m:r>
                <w:rPr>
                  <w:rFonts w:ascii="Cambria Math" w:hAnsi="Cambria Math"/>
                </w:rPr>
                <m:t>α</m:t>
              </m:r>
            </m:e>
          </m:acc>
          <m:r>
            <w:rPr>
              <w:rFonts w:ascii="Cambria Math" w:hAnsi="Cambria Math"/>
            </w:rPr>
            <m:t xml:space="preserve">=0.23,  </m:t>
          </m:r>
          <m:sSub>
            <m:sSubPr>
              <m:ctrlPr>
                <w:rPr>
                  <w:rFonts w:ascii="Cambria Math" w:hAnsi="Cambria Math"/>
                  <w:i/>
                </w:rPr>
              </m:ctrlPr>
            </m:sSubPr>
            <m:e>
              <m:acc>
                <m:accPr>
                  <m:ctrlPr>
                    <w:rPr>
                      <w:rFonts w:ascii="Cambria Math" w:hAnsi="Cambria Math"/>
                      <w:i/>
                    </w:rPr>
                  </m:ctrlPr>
                </m:accPr>
                <m:e>
                  <m:r>
                    <w:rPr>
                      <w:rFonts w:ascii="Cambria Math" w:hAnsi="Cambria Math"/>
                    </w:rPr>
                    <m:t>β</m:t>
                  </m:r>
                </m:e>
              </m:acc>
            </m:e>
            <m:sub>
              <m:r>
                <w:rPr>
                  <w:rFonts w:ascii="Cambria Math" w:hAnsi="Cambria Math"/>
                </w:rPr>
                <m:t>1</m:t>
              </m:r>
            </m:sub>
          </m:sSub>
          <m:r>
            <w:rPr>
              <w:rFonts w:ascii="Cambria Math" w:hAnsi="Cambria Math"/>
            </w:rPr>
            <m:t xml:space="preserve">=0.03,  </m:t>
          </m:r>
          <m:sSub>
            <m:sSubPr>
              <m:ctrlPr>
                <w:rPr>
                  <w:rFonts w:ascii="Cambria Math" w:hAnsi="Cambria Math"/>
                  <w:i/>
                </w:rPr>
              </m:ctrlPr>
            </m:sSubPr>
            <m:e>
              <m:acc>
                <m:accPr>
                  <m:ctrlPr>
                    <w:rPr>
                      <w:rFonts w:ascii="Cambria Math" w:hAnsi="Cambria Math"/>
                      <w:i/>
                    </w:rPr>
                  </m:ctrlPr>
                </m:accPr>
                <m:e>
                  <m:r>
                    <w:rPr>
                      <w:rFonts w:ascii="Cambria Math" w:hAnsi="Cambria Math"/>
                    </w:rPr>
                    <m:t>β</m:t>
                  </m:r>
                </m:e>
              </m:acc>
            </m:e>
            <m:sub>
              <m:r>
                <w:rPr>
                  <w:rFonts w:ascii="Cambria Math" w:hAnsi="Cambria Math"/>
                </w:rPr>
                <m:t>2</m:t>
              </m:r>
            </m:sub>
          </m:sSub>
          <m:r>
            <w:rPr>
              <w:rFonts w:ascii="Cambria Math" w:hAnsi="Cambria Math"/>
            </w:rPr>
            <m:t xml:space="preserve">=-0.26  </m:t>
          </m:r>
        </m:oMath>
      </m:oMathPara>
    </w:p>
    <w:p w14:paraId="7BE99991" w14:textId="4BB549F5" w:rsidR="00B42AE3" w:rsidRDefault="00B42AE3" w:rsidP="000B7A0A">
      <w:pPr>
        <w:jc w:val="both"/>
      </w:pPr>
    </w:p>
    <w:p w14:paraId="531FCCF0" w14:textId="7B24457B" w:rsidR="00B42AE3" w:rsidRDefault="00EA4F2D" w:rsidP="00E75A57">
      <w:pPr>
        <w:jc w:val="both"/>
      </w:pPr>
      <w:r>
        <w:t xml:space="preserve">The results here show that a percentage increase in oil price leads to a percentage point increase in foreign currency reserves, when exchange rate does not change whereas a percentage point increase USD/INR (percentage point devaluation of rupee) leads to 26% decrease in </w:t>
      </w:r>
      <w:r w:rsidR="007F6304">
        <w:t>Foreign currency reserve.</w:t>
      </w:r>
    </w:p>
    <w:p w14:paraId="62F78518" w14:textId="60E99608" w:rsidR="00DB757A" w:rsidRDefault="00DB757A" w:rsidP="000B7A0A">
      <w:pPr>
        <w:jc w:val="both"/>
      </w:pPr>
    </w:p>
    <w:p w14:paraId="410984B4" w14:textId="74735C25" w:rsidR="00DB757A" w:rsidRDefault="00DB757A" w:rsidP="004D55C0">
      <w:pPr>
        <w:jc w:val="both"/>
      </w:pPr>
      <w:r w:rsidRPr="00DB757A">
        <w:rPr>
          <w:noProof/>
        </w:rPr>
        <w:drawing>
          <wp:inline distT="0" distB="0" distL="0" distR="0" wp14:anchorId="169A949F" wp14:editId="2D283920">
            <wp:extent cx="1868557" cy="1397491"/>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017766" cy="1509084"/>
                    </a:xfrm>
                    <a:prstGeom prst="rect">
                      <a:avLst/>
                    </a:prstGeom>
                  </pic:spPr>
                </pic:pic>
              </a:graphicData>
            </a:graphic>
          </wp:inline>
        </w:drawing>
      </w:r>
      <w:r w:rsidRPr="00DB757A">
        <w:rPr>
          <w:noProof/>
        </w:rPr>
        <w:drawing>
          <wp:inline distT="0" distB="0" distL="0" distR="0" wp14:anchorId="6CDDADF3" wp14:editId="69E2860A">
            <wp:extent cx="1974573" cy="1476781"/>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216651" cy="1657831"/>
                    </a:xfrm>
                    <a:prstGeom prst="rect">
                      <a:avLst/>
                    </a:prstGeom>
                  </pic:spPr>
                </pic:pic>
              </a:graphicData>
            </a:graphic>
          </wp:inline>
        </w:drawing>
      </w:r>
      <w:r w:rsidR="004D55C0" w:rsidRPr="004D55C0">
        <w:rPr>
          <w:noProof/>
        </w:rPr>
        <w:drawing>
          <wp:inline distT="0" distB="0" distL="0" distR="0" wp14:anchorId="1AF2E9E0" wp14:editId="2142AD65">
            <wp:extent cx="1848679" cy="1382625"/>
            <wp:effectExtent l="0" t="0" r="5715"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947083" cy="1456221"/>
                    </a:xfrm>
                    <a:prstGeom prst="rect">
                      <a:avLst/>
                    </a:prstGeom>
                  </pic:spPr>
                </pic:pic>
              </a:graphicData>
            </a:graphic>
          </wp:inline>
        </w:drawing>
      </w:r>
    </w:p>
    <w:p w14:paraId="06813025" w14:textId="3F89B151" w:rsidR="00DB757A" w:rsidRDefault="00DB757A" w:rsidP="000B7A0A">
      <w:pPr>
        <w:jc w:val="both"/>
      </w:pPr>
    </w:p>
    <w:p w14:paraId="27A1C34E" w14:textId="44D204BE" w:rsidR="007C636F" w:rsidRDefault="008330E9" w:rsidP="000B7A0A">
      <w:pPr>
        <w:jc w:val="both"/>
      </w:pPr>
      <w:r>
        <w:t>Residuals of non-transformed series plotted against each other. It can be noticed that</w:t>
      </w:r>
      <w:r w:rsidR="00BA169B">
        <w:t xml:space="preserve"> the standardised residuals of non-transformed regression </w:t>
      </w:r>
      <w:r>
        <w:t>are not perfectly centred around 0 and directly using these series would lead to spurious regression</w:t>
      </w:r>
      <w:r w:rsidR="00BA169B">
        <w:t xml:space="preserve"> and estimated would be biased.</w:t>
      </w:r>
    </w:p>
    <w:p w14:paraId="713046EC" w14:textId="5D554E7E" w:rsidR="00EE4A5B" w:rsidRDefault="00BA169B" w:rsidP="002269C4">
      <w:pPr>
        <w:jc w:val="both"/>
      </w:pPr>
      <w:r w:rsidRPr="00BA169B">
        <w:rPr>
          <w:noProof/>
        </w:rPr>
        <w:drawing>
          <wp:inline distT="0" distB="0" distL="0" distR="0" wp14:anchorId="32A59855" wp14:editId="29E4B2EA">
            <wp:extent cx="1968234" cy="1472040"/>
            <wp:effectExtent l="0" t="0" r="635" b="127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013699" cy="1506043"/>
                    </a:xfrm>
                    <a:prstGeom prst="rect">
                      <a:avLst/>
                    </a:prstGeom>
                  </pic:spPr>
                </pic:pic>
              </a:graphicData>
            </a:graphic>
          </wp:inline>
        </w:drawing>
      </w:r>
      <w:r w:rsidRPr="00BA169B">
        <w:rPr>
          <w:noProof/>
        </w:rPr>
        <w:drawing>
          <wp:inline distT="0" distB="0" distL="0" distR="0" wp14:anchorId="719738F6" wp14:editId="509A9306">
            <wp:extent cx="1924009" cy="143896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947176" cy="1456292"/>
                    </a:xfrm>
                    <a:prstGeom prst="rect">
                      <a:avLst/>
                    </a:prstGeom>
                  </pic:spPr>
                </pic:pic>
              </a:graphicData>
            </a:graphic>
          </wp:inline>
        </w:drawing>
      </w:r>
      <w:r w:rsidR="008330E9" w:rsidRPr="008330E9">
        <w:rPr>
          <w:noProof/>
        </w:rPr>
        <w:drawing>
          <wp:inline distT="0" distB="0" distL="0" distR="0" wp14:anchorId="3D37E9B7" wp14:editId="24365DA2">
            <wp:extent cx="1794661" cy="1342225"/>
            <wp:effectExtent l="0" t="0" r="0" b="444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840057" cy="1376177"/>
                    </a:xfrm>
                    <a:prstGeom prst="rect">
                      <a:avLst/>
                    </a:prstGeom>
                  </pic:spPr>
                </pic:pic>
              </a:graphicData>
            </a:graphic>
          </wp:inline>
        </w:drawing>
      </w:r>
    </w:p>
    <w:sectPr w:rsidR="00EE4A5B" w:rsidSect="00E6368D">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1A415F1" w14:textId="77777777" w:rsidR="00B157F6" w:rsidRDefault="00B157F6" w:rsidP="000E32D5">
      <w:r>
        <w:separator/>
      </w:r>
    </w:p>
  </w:endnote>
  <w:endnote w:type="continuationSeparator" w:id="0">
    <w:p w14:paraId="518D1A94" w14:textId="77777777" w:rsidR="00B157F6" w:rsidRDefault="00B157F6" w:rsidP="000E32D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E1BB556" w14:textId="77777777" w:rsidR="00B157F6" w:rsidRDefault="00B157F6" w:rsidP="000E32D5">
      <w:r>
        <w:separator/>
      </w:r>
    </w:p>
  </w:footnote>
  <w:footnote w:type="continuationSeparator" w:id="0">
    <w:p w14:paraId="07BD2A1C" w14:textId="77777777" w:rsidR="00B157F6" w:rsidRDefault="00B157F6" w:rsidP="000E32D5">
      <w:r>
        <w:continuationSeparator/>
      </w:r>
    </w:p>
  </w:footnote>
  <w:footnote w:id="1">
    <w:p w14:paraId="61E7056B" w14:textId="791C3D22" w:rsidR="00BC30D3" w:rsidRDefault="00BC30D3">
      <w:pPr>
        <w:pStyle w:val="FootnoteText"/>
      </w:pPr>
      <w:r>
        <w:rPr>
          <w:rStyle w:val="FootnoteReference"/>
        </w:rPr>
        <w:footnoteRef/>
      </w:r>
      <w:r>
        <w:t xml:space="preserve"> </w:t>
      </w:r>
      <w:hyperlink r:id="rId1" w:history="1">
        <w:r w:rsidRPr="0053250C">
          <w:rPr>
            <w:rStyle w:val="Hyperlink"/>
          </w:rPr>
          <w:t>https://www.imf.org/external/pubs/ft/ar/2021/eng/downloads/appendix.pdf</w:t>
        </w:r>
      </w:hyperlink>
      <w:r>
        <w:t xml:space="preserve"> </w:t>
      </w:r>
    </w:p>
  </w:footnote>
  <w:footnote w:id="2">
    <w:p w14:paraId="5B9B866A" w14:textId="6863D85E" w:rsidR="00BC30D3" w:rsidRDefault="00BC30D3">
      <w:pPr>
        <w:pStyle w:val="FootnoteText"/>
      </w:pPr>
      <w:r>
        <w:rPr>
          <w:rStyle w:val="FootnoteReference"/>
        </w:rPr>
        <w:footnoteRef/>
      </w:r>
      <w:r>
        <w:t xml:space="preserve"> </w:t>
      </w:r>
      <w:hyperlink r:id="rId2" w:history="1">
        <w:r w:rsidRPr="0053250C">
          <w:rPr>
            <w:rStyle w:val="Hyperlink"/>
          </w:rPr>
          <w:t>https://www.orfonline.org/expert-speak/indias-oil-imports/</w:t>
        </w:r>
      </w:hyperlink>
      <w:r>
        <w:t xml:space="preserve"> </w:t>
      </w:r>
    </w:p>
  </w:footnote>
  <w:footnote w:id="3">
    <w:p w14:paraId="3BC46ECC" w14:textId="77777777" w:rsidR="00BC30D3" w:rsidRDefault="00BC30D3">
      <w:pPr>
        <w:pStyle w:val="FootnoteText"/>
      </w:pPr>
    </w:p>
    <w:p w14:paraId="08C599B0" w14:textId="3C2019D4" w:rsidR="00BC30D3" w:rsidRDefault="00BC30D3">
      <w:pPr>
        <w:pStyle w:val="FootnoteText"/>
      </w:pPr>
      <w:r>
        <w:rPr>
          <w:rStyle w:val="FootnoteReference"/>
        </w:rPr>
        <w:footnoteRef/>
      </w:r>
      <w:r>
        <w:t xml:space="preserve"> </w:t>
      </w:r>
      <w:hyperlink r:id="rId3" w:history="1">
        <w:r w:rsidRPr="0053250C">
          <w:rPr>
            <w:rStyle w:val="Hyperlink"/>
          </w:rPr>
          <w:t>https://www.rbi.org.in/</w:t>
        </w:r>
      </w:hyperlink>
      <w:r>
        <w:t xml:space="preserve"> -&gt; Statistics Tab -&gt; Databases on Indian Economy -&gt; Foreign Exchange Reserves (Under indicators)-&gt; Export -&gt; Export data as -&gt; Excel(.xlsx). [Number of rows in the downloaded data depends on when the data is accessed as the dataset is updated weekly. The last row contained 2022/10/28 when it was accessed for this assignment]</w:t>
      </w:r>
    </w:p>
    <w:p w14:paraId="53356DA8" w14:textId="77777777" w:rsidR="00BC30D3" w:rsidRDefault="00BC30D3">
      <w:pPr>
        <w:pStyle w:val="FootnoteText"/>
      </w:pPr>
    </w:p>
  </w:footnote>
  <w:footnote w:id="4">
    <w:p w14:paraId="36CC79FE" w14:textId="05E21448" w:rsidR="00BC30D3" w:rsidRDefault="00BC30D3">
      <w:pPr>
        <w:pStyle w:val="FootnoteText"/>
      </w:pPr>
      <w:r>
        <w:rPr>
          <w:rStyle w:val="FootnoteReference"/>
        </w:rPr>
        <w:footnoteRef/>
      </w:r>
      <w:hyperlink r:id="rId4" w:history="1">
        <w:r w:rsidRPr="0053250C">
          <w:rPr>
            <w:rStyle w:val="Hyperlink"/>
          </w:rPr>
          <w:t>https://www.federalreserve.gov/datadownload/Download.aspx?rel=H10&amp;series=3604f6e0c01fd1a3275b2de1f6547cb6&amp;filetype=csv&amp;label=include&amp;layout=seriescolumn&amp;from=04/06/2001&amp;to=10/28/2022</w:t>
        </w:r>
      </w:hyperlink>
      <w:r>
        <w:t xml:space="preserve"> -&gt;Download File</w:t>
      </w:r>
    </w:p>
    <w:p w14:paraId="4D30B199" w14:textId="77777777" w:rsidR="00BC30D3" w:rsidRDefault="00BC30D3">
      <w:pPr>
        <w:pStyle w:val="FootnoteText"/>
      </w:pPr>
    </w:p>
  </w:footnote>
  <w:footnote w:id="5">
    <w:p w14:paraId="6E2BE9F3" w14:textId="68CF3A96" w:rsidR="00BC30D3" w:rsidRPr="00187763" w:rsidRDefault="00BC30D3" w:rsidP="00187763">
      <w:pPr>
        <w:pStyle w:val="FootnoteText"/>
      </w:pPr>
      <w:r>
        <w:rPr>
          <w:rStyle w:val="FootnoteReference"/>
        </w:rPr>
        <w:footnoteRef/>
      </w:r>
      <w:r>
        <w:t xml:space="preserve"> </w:t>
      </w:r>
      <w:hyperlink r:id="rId5" w:history="1">
        <w:r w:rsidRPr="0053250C">
          <w:rPr>
            <w:rStyle w:val="Hyperlink"/>
          </w:rPr>
          <w:t>https://datahub.io/core/oil-prices</w:t>
        </w:r>
      </w:hyperlink>
      <w:r>
        <w:t xml:space="preserve"> -&gt; Scroll down to Data Files -&gt; Download Brent-Week CSV [As the dataset is updated weekly, the number of rows depends on when the data is accessed.]</w:t>
      </w:r>
    </w:p>
    <w:p w14:paraId="6312AA77" w14:textId="6DD688FD" w:rsidR="00BC30D3" w:rsidRDefault="00BC30D3">
      <w:pPr>
        <w:pStyle w:val="FootnoteText"/>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7437686"/>
    <w:multiLevelType w:val="multilevel"/>
    <w:tmpl w:val="67E087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2"/>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A103A"/>
    <w:rsid w:val="00031118"/>
    <w:rsid w:val="00086938"/>
    <w:rsid w:val="000B7A0A"/>
    <w:rsid w:val="000E32D5"/>
    <w:rsid w:val="000E6460"/>
    <w:rsid w:val="000F3511"/>
    <w:rsid w:val="001137B6"/>
    <w:rsid w:val="001553A8"/>
    <w:rsid w:val="00187763"/>
    <w:rsid w:val="001A23AE"/>
    <w:rsid w:val="002002A0"/>
    <w:rsid w:val="002149B9"/>
    <w:rsid w:val="00215A97"/>
    <w:rsid w:val="002269C4"/>
    <w:rsid w:val="00276401"/>
    <w:rsid w:val="002778A5"/>
    <w:rsid w:val="002815AA"/>
    <w:rsid w:val="002855D0"/>
    <w:rsid w:val="002A103A"/>
    <w:rsid w:val="002C712F"/>
    <w:rsid w:val="00306D5B"/>
    <w:rsid w:val="003770E2"/>
    <w:rsid w:val="003A763A"/>
    <w:rsid w:val="003B23B9"/>
    <w:rsid w:val="00484B45"/>
    <w:rsid w:val="004D55C0"/>
    <w:rsid w:val="005E4C8C"/>
    <w:rsid w:val="00606769"/>
    <w:rsid w:val="006B2E27"/>
    <w:rsid w:val="0077791A"/>
    <w:rsid w:val="00787223"/>
    <w:rsid w:val="007C636F"/>
    <w:rsid w:val="007F6304"/>
    <w:rsid w:val="008020CB"/>
    <w:rsid w:val="008330E9"/>
    <w:rsid w:val="0086495B"/>
    <w:rsid w:val="008718CE"/>
    <w:rsid w:val="0089561B"/>
    <w:rsid w:val="008B512B"/>
    <w:rsid w:val="008C143C"/>
    <w:rsid w:val="008C59AB"/>
    <w:rsid w:val="00910649"/>
    <w:rsid w:val="00920E2F"/>
    <w:rsid w:val="00985108"/>
    <w:rsid w:val="009B58C5"/>
    <w:rsid w:val="009F74A3"/>
    <w:rsid w:val="00A14184"/>
    <w:rsid w:val="00A32E29"/>
    <w:rsid w:val="00A44D44"/>
    <w:rsid w:val="00A811C7"/>
    <w:rsid w:val="00AD1DA1"/>
    <w:rsid w:val="00B157F6"/>
    <w:rsid w:val="00B233AB"/>
    <w:rsid w:val="00B42AE3"/>
    <w:rsid w:val="00B8406F"/>
    <w:rsid w:val="00BA169B"/>
    <w:rsid w:val="00BC30D3"/>
    <w:rsid w:val="00C136DE"/>
    <w:rsid w:val="00C50D5E"/>
    <w:rsid w:val="00CB1D39"/>
    <w:rsid w:val="00CC026D"/>
    <w:rsid w:val="00CD27D5"/>
    <w:rsid w:val="00DB4D32"/>
    <w:rsid w:val="00DB757A"/>
    <w:rsid w:val="00E02F48"/>
    <w:rsid w:val="00E511AF"/>
    <w:rsid w:val="00E56578"/>
    <w:rsid w:val="00E6368D"/>
    <w:rsid w:val="00E72660"/>
    <w:rsid w:val="00E75A57"/>
    <w:rsid w:val="00E92FE0"/>
    <w:rsid w:val="00EA4F2D"/>
    <w:rsid w:val="00EE4A5B"/>
    <w:rsid w:val="00F82BA6"/>
    <w:rsid w:val="00FD1CAC"/>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77AA2F"/>
  <w15:chartTrackingRefBased/>
  <w15:docId w15:val="{548F2CB7-C30D-2643-B8A4-5643AB839D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E511AF"/>
    <w:rPr>
      <w:color w:val="0563C1" w:themeColor="hyperlink"/>
      <w:u w:val="single"/>
    </w:rPr>
  </w:style>
  <w:style w:type="character" w:styleId="UnresolvedMention">
    <w:name w:val="Unresolved Mention"/>
    <w:basedOn w:val="DefaultParagraphFont"/>
    <w:uiPriority w:val="99"/>
    <w:semiHidden/>
    <w:unhideWhenUsed/>
    <w:rsid w:val="00E511AF"/>
    <w:rPr>
      <w:color w:val="605E5C"/>
      <w:shd w:val="clear" w:color="auto" w:fill="E1DFDD"/>
    </w:rPr>
  </w:style>
  <w:style w:type="character" w:customStyle="1" w:styleId="apple-converted-space">
    <w:name w:val="apple-converted-space"/>
    <w:basedOn w:val="DefaultParagraphFont"/>
    <w:rsid w:val="00CC026D"/>
  </w:style>
  <w:style w:type="character" w:customStyle="1" w:styleId="math">
    <w:name w:val="math"/>
    <w:basedOn w:val="DefaultParagraphFont"/>
    <w:rsid w:val="00CC026D"/>
  </w:style>
  <w:style w:type="character" w:customStyle="1" w:styleId="mjx-char">
    <w:name w:val="mjx-char"/>
    <w:basedOn w:val="DefaultParagraphFont"/>
    <w:rsid w:val="00CC026D"/>
  </w:style>
  <w:style w:type="paragraph" w:styleId="NormalWeb">
    <w:name w:val="Normal (Web)"/>
    <w:basedOn w:val="Normal"/>
    <w:uiPriority w:val="99"/>
    <w:semiHidden/>
    <w:unhideWhenUsed/>
    <w:rsid w:val="00FD1CAC"/>
    <w:rPr>
      <w:rFonts w:ascii="Times New Roman" w:hAnsi="Times New Roman" w:cs="Times New Roman"/>
    </w:rPr>
  </w:style>
  <w:style w:type="paragraph" w:styleId="FootnoteText">
    <w:name w:val="footnote text"/>
    <w:basedOn w:val="Normal"/>
    <w:link w:val="FootnoteTextChar"/>
    <w:uiPriority w:val="99"/>
    <w:semiHidden/>
    <w:unhideWhenUsed/>
    <w:rsid w:val="000E32D5"/>
    <w:rPr>
      <w:sz w:val="20"/>
      <w:szCs w:val="20"/>
    </w:rPr>
  </w:style>
  <w:style w:type="character" w:customStyle="1" w:styleId="FootnoteTextChar">
    <w:name w:val="Footnote Text Char"/>
    <w:basedOn w:val="DefaultParagraphFont"/>
    <w:link w:val="FootnoteText"/>
    <w:uiPriority w:val="99"/>
    <w:semiHidden/>
    <w:rsid w:val="000E32D5"/>
    <w:rPr>
      <w:sz w:val="20"/>
      <w:szCs w:val="20"/>
    </w:rPr>
  </w:style>
  <w:style w:type="character" w:styleId="FootnoteReference">
    <w:name w:val="footnote reference"/>
    <w:basedOn w:val="DefaultParagraphFont"/>
    <w:uiPriority w:val="99"/>
    <w:semiHidden/>
    <w:unhideWhenUsed/>
    <w:rsid w:val="000E32D5"/>
    <w:rPr>
      <w:vertAlign w:val="superscript"/>
    </w:rPr>
  </w:style>
  <w:style w:type="table" w:styleId="TableGrid">
    <w:name w:val="Table Grid"/>
    <w:basedOn w:val="TableNormal"/>
    <w:uiPriority w:val="39"/>
    <w:rsid w:val="0027640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276401"/>
    <w:rPr>
      <w:color w:val="954F72" w:themeColor="followedHyperlink"/>
      <w:u w:val="single"/>
    </w:rPr>
  </w:style>
  <w:style w:type="character" w:styleId="PlaceholderText">
    <w:name w:val="Placeholder Text"/>
    <w:basedOn w:val="DefaultParagraphFont"/>
    <w:uiPriority w:val="99"/>
    <w:semiHidden/>
    <w:rsid w:val="005E4C8C"/>
    <w:rPr>
      <w:color w:val="808080"/>
    </w:rPr>
  </w:style>
  <w:style w:type="paragraph" w:styleId="Caption">
    <w:name w:val="caption"/>
    <w:basedOn w:val="Normal"/>
    <w:next w:val="Normal"/>
    <w:uiPriority w:val="35"/>
    <w:unhideWhenUsed/>
    <w:qFormat/>
    <w:rsid w:val="00B233AB"/>
    <w:pPr>
      <w:spacing w:after="200"/>
    </w:pPr>
    <w:rPr>
      <w:i/>
      <w:iCs/>
      <w:color w:val="44546A" w:themeColor="text2"/>
      <w:sz w:val="18"/>
      <w:szCs w:val="18"/>
    </w:rPr>
  </w:style>
  <w:style w:type="paragraph" w:styleId="BalloonText">
    <w:name w:val="Balloon Text"/>
    <w:basedOn w:val="Normal"/>
    <w:link w:val="BalloonTextChar"/>
    <w:uiPriority w:val="99"/>
    <w:semiHidden/>
    <w:unhideWhenUsed/>
    <w:rsid w:val="00BC30D3"/>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BC30D3"/>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5885739">
      <w:bodyDiv w:val="1"/>
      <w:marLeft w:val="0"/>
      <w:marRight w:val="0"/>
      <w:marTop w:val="0"/>
      <w:marBottom w:val="0"/>
      <w:divBdr>
        <w:top w:val="none" w:sz="0" w:space="0" w:color="auto"/>
        <w:left w:val="none" w:sz="0" w:space="0" w:color="auto"/>
        <w:bottom w:val="none" w:sz="0" w:space="0" w:color="auto"/>
        <w:right w:val="none" w:sz="0" w:space="0" w:color="auto"/>
      </w:divBdr>
    </w:div>
    <w:div w:id="298346427">
      <w:bodyDiv w:val="1"/>
      <w:marLeft w:val="0"/>
      <w:marRight w:val="0"/>
      <w:marTop w:val="0"/>
      <w:marBottom w:val="0"/>
      <w:divBdr>
        <w:top w:val="none" w:sz="0" w:space="0" w:color="auto"/>
        <w:left w:val="none" w:sz="0" w:space="0" w:color="auto"/>
        <w:bottom w:val="none" w:sz="0" w:space="0" w:color="auto"/>
        <w:right w:val="none" w:sz="0" w:space="0" w:color="auto"/>
      </w:divBdr>
      <w:divsChild>
        <w:div w:id="805203896">
          <w:marLeft w:val="0"/>
          <w:marRight w:val="0"/>
          <w:marTop w:val="0"/>
          <w:marBottom w:val="0"/>
          <w:divBdr>
            <w:top w:val="none" w:sz="0" w:space="0" w:color="auto"/>
            <w:left w:val="none" w:sz="0" w:space="0" w:color="auto"/>
            <w:bottom w:val="none" w:sz="0" w:space="0" w:color="auto"/>
            <w:right w:val="none" w:sz="0" w:space="0" w:color="auto"/>
          </w:divBdr>
          <w:divsChild>
            <w:div w:id="1732265209">
              <w:marLeft w:val="0"/>
              <w:marRight w:val="0"/>
              <w:marTop w:val="0"/>
              <w:marBottom w:val="0"/>
              <w:divBdr>
                <w:top w:val="none" w:sz="0" w:space="0" w:color="auto"/>
                <w:left w:val="none" w:sz="0" w:space="0" w:color="auto"/>
                <w:bottom w:val="none" w:sz="0" w:space="0" w:color="auto"/>
                <w:right w:val="none" w:sz="0" w:space="0" w:color="auto"/>
              </w:divBdr>
              <w:divsChild>
                <w:div w:id="1955553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0443134">
      <w:bodyDiv w:val="1"/>
      <w:marLeft w:val="0"/>
      <w:marRight w:val="0"/>
      <w:marTop w:val="0"/>
      <w:marBottom w:val="0"/>
      <w:divBdr>
        <w:top w:val="none" w:sz="0" w:space="0" w:color="auto"/>
        <w:left w:val="none" w:sz="0" w:space="0" w:color="auto"/>
        <w:bottom w:val="none" w:sz="0" w:space="0" w:color="auto"/>
        <w:right w:val="none" w:sz="0" w:space="0" w:color="auto"/>
      </w:divBdr>
    </w:div>
    <w:div w:id="728116551">
      <w:bodyDiv w:val="1"/>
      <w:marLeft w:val="0"/>
      <w:marRight w:val="0"/>
      <w:marTop w:val="0"/>
      <w:marBottom w:val="0"/>
      <w:divBdr>
        <w:top w:val="none" w:sz="0" w:space="0" w:color="auto"/>
        <w:left w:val="none" w:sz="0" w:space="0" w:color="auto"/>
        <w:bottom w:val="none" w:sz="0" w:space="0" w:color="auto"/>
        <w:right w:val="none" w:sz="0" w:space="0" w:color="auto"/>
      </w:divBdr>
    </w:div>
    <w:div w:id="792138625">
      <w:bodyDiv w:val="1"/>
      <w:marLeft w:val="0"/>
      <w:marRight w:val="0"/>
      <w:marTop w:val="0"/>
      <w:marBottom w:val="0"/>
      <w:divBdr>
        <w:top w:val="none" w:sz="0" w:space="0" w:color="auto"/>
        <w:left w:val="none" w:sz="0" w:space="0" w:color="auto"/>
        <w:bottom w:val="none" w:sz="0" w:space="0" w:color="auto"/>
        <w:right w:val="none" w:sz="0" w:space="0" w:color="auto"/>
      </w:divBdr>
    </w:div>
    <w:div w:id="1180121397">
      <w:bodyDiv w:val="1"/>
      <w:marLeft w:val="0"/>
      <w:marRight w:val="0"/>
      <w:marTop w:val="0"/>
      <w:marBottom w:val="0"/>
      <w:divBdr>
        <w:top w:val="none" w:sz="0" w:space="0" w:color="auto"/>
        <w:left w:val="none" w:sz="0" w:space="0" w:color="auto"/>
        <w:bottom w:val="none" w:sz="0" w:space="0" w:color="auto"/>
        <w:right w:val="none" w:sz="0" w:space="0" w:color="auto"/>
      </w:divBdr>
    </w:div>
    <w:div w:id="1382678818">
      <w:bodyDiv w:val="1"/>
      <w:marLeft w:val="0"/>
      <w:marRight w:val="0"/>
      <w:marTop w:val="0"/>
      <w:marBottom w:val="0"/>
      <w:divBdr>
        <w:top w:val="none" w:sz="0" w:space="0" w:color="auto"/>
        <w:left w:val="none" w:sz="0" w:space="0" w:color="auto"/>
        <w:bottom w:val="none" w:sz="0" w:space="0" w:color="auto"/>
        <w:right w:val="none" w:sz="0" w:space="0" w:color="auto"/>
      </w:divBdr>
    </w:div>
    <w:div w:id="1561163419">
      <w:bodyDiv w:val="1"/>
      <w:marLeft w:val="0"/>
      <w:marRight w:val="0"/>
      <w:marTop w:val="0"/>
      <w:marBottom w:val="0"/>
      <w:divBdr>
        <w:top w:val="none" w:sz="0" w:space="0" w:color="auto"/>
        <w:left w:val="none" w:sz="0" w:space="0" w:color="auto"/>
        <w:bottom w:val="none" w:sz="0" w:space="0" w:color="auto"/>
        <w:right w:val="none" w:sz="0" w:space="0" w:color="auto"/>
      </w:divBdr>
    </w:div>
    <w:div w:id="1659459836">
      <w:bodyDiv w:val="1"/>
      <w:marLeft w:val="0"/>
      <w:marRight w:val="0"/>
      <w:marTop w:val="0"/>
      <w:marBottom w:val="0"/>
      <w:divBdr>
        <w:top w:val="none" w:sz="0" w:space="0" w:color="auto"/>
        <w:left w:val="none" w:sz="0" w:space="0" w:color="auto"/>
        <w:bottom w:val="none" w:sz="0" w:space="0" w:color="auto"/>
        <w:right w:val="none" w:sz="0" w:space="0" w:color="auto"/>
      </w:divBdr>
      <w:divsChild>
        <w:div w:id="2043942242">
          <w:marLeft w:val="0"/>
          <w:marRight w:val="0"/>
          <w:marTop w:val="0"/>
          <w:marBottom w:val="0"/>
          <w:divBdr>
            <w:top w:val="none" w:sz="0" w:space="0" w:color="auto"/>
            <w:left w:val="none" w:sz="0" w:space="0" w:color="auto"/>
            <w:bottom w:val="none" w:sz="0" w:space="0" w:color="auto"/>
            <w:right w:val="none" w:sz="0" w:space="0" w:color="auto"/>
          </w:divBdr>
          <w:divsChild>
            <w:div w:id="1403747256">
              <w:marLeft w:val="0"/>
              <w:marRight w:val="0"/>
              <w:marTop w:val="0"/>
              <w:marBottom w:val="0"/>
              <w:divBdr>
                <w:top w:val="none" w:sz="0" w:space="0" w:color="auto"/>
                <w:left w:val="none" w:sz="0" w:space="0" w:color="auto"/>
                <w:bottom w:val="none" w:sz="0" w:space="0" w:color="auto"/>
                <w:right w:val="none" w:sz="0" w:space="0" w:color="auto"/>
              </w:divBdr>
              <w:divsChild>
                <w:div w:id="950865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6032919">
      <w:bodyDiv w:val="1"/>
      <w:marLeft w:val="0"/>
      <w:marRight w:val="0"/>
      <w:marTop w:val="0"/>
      <w:marBottom w:val="0"/>
      <w:divBdr>
        <w:top w:val="none" w:sz="0" w:space="0" w:color="auto"/>
        <w:left w:val="none" w:sz="0" w:space="0" w:color="auto"/>
        <w:bottom w:val="none" w:sz="0" w:space="0" w:color="auto"/>
        <w:right w:val="none" w:sz="0" w:space="0" w:color="auto"/>
      </w:divBdr>
    </w:div>
    <w:div w:id="1787390035">
      <w:bodyDiv w:val="1"/>
      <w:marLeft w:val="0"/>
      <w:marRight w:val="0"/>
      <w:marTop w:val="0"/>
      <w:marBottom w:val="0"/>
      <w:divBdr>
        <w:top w:val="none" w:sz="0" w:space="0" w:color="auto"/>
        <w:left w:val="none" w:sz="0" w:space="0" w:color="auto"/>
        <w:bottom w:val="none" w:sz="0" w:space="0" w:color="auto"/>
        <w:right w:val="none" w:sz="0" w:space="0" w:color="auto"/>
      </w:divBdr>
    </w:div>
    <w:div w:id="1953122420">
      <w:bodyDiv w:val="1"/>
      <w:marLeft w:val="0"/>
      <w:marRight w:val="0"/>
      <w:marTop w:val="0"/>
      <w:marBottom w:val="0"/>
      <w:divBdr>
        <w:top w:val="none" w:sz="0" w:space="0" w:color="auto"/>
        <w:left w:val="none" w:sz="0" w:space="0" w:color="auto"/>
        <w:bottom w:val="none" w:sz="0" w:space="0" w:color="auto"/>
        <w:right w:val="none" w:sz="0" w:space="0" w:color="auto"/>
      </w:divBdr>
    </w:div>
    <w:div w:id="20072033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image" Target="media/image6.tiff"/><Relationship Id="rId18" Type="http://schemas.openxmlformats.org/officeDocument/2006/relationships/image" Target="media/image11.tiff"/><Relationship Id="rId26" Type="http://schemas.openxmlformats.org/officeDocument/2006/relationships/image" Target="media/image19.tiff"/><Relationship Id="rId3" Type="http://schemas.openxmlformats.org/officeDocument/2006/relationships/styles" Target="styles.xml"/><Relationship Id="rId21" Type="http://schemas.openxmlformats.org/officeDocument/2006/relationships/image" Target="media/image14.tiff"/><Relationship Id="rId7" Type="http://schemas.openxmlformats.org/officeDocument/2006/relationships/endnotes" Target="endnotes.xml"/><Relationship Id="rId12" Type="http://schemas.openxmlformats.org/officeDocument/2006/relationships/image" Target="media/image5.tiff"/><Relationship Id="rId17" Type="http://schemas.openxmlformats.org/officeDocument/2006/relationships/image" Target="media/image10.tiff"/><Relationship Id="rId25" Type="http://schemas.openxmlformats.org/officeDocument/2006/relationships/image" Target="media/image18.tiff"/><Relationship Id="rId2" Type="http://schemas.openxmlformats.org/officeDocument/2006/relationships/numbering" Target="numbering.xml"/><Relationship Id="rId16" Type="http://schemas.openxmlformats.org/officeDocument/2006/relationships/image" Target="media/image9.tiff"/><Relationship Id="rId20" Type="http://schemas.openxmlformats.org/officeDocument/2006/relationships/image" Target="media/image13.tiff"/><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tiff"/><Relationship Id="rId24" Type="http://schemas.openxmlformats.org/officeDocument/2006/relationships/image" Target="media/image17.tiff"/><Relationship Id="rId5" Type="http://schemas.openxmlformats.org/officeDocument/2006/relationships/webSettings" Target="webSettings.xml"/><Relationship Id="rId15" Type="http://schemas.openxmlformats.org/officeDocument/2006/relationships/image" Target="media/image8.tiff"/><Relationship Id="rId23" Type="http://schemas.openxmlformats.org/officeDocument/2006/relationships/image" Target="media/image16.tiff"/><Relationship Id="rId28" Type="http://schemas.openxmlformats.org/officeDocument/2006/relationships/image" Target="media/image21.tiff"/><Relationship Id="rId10" Type="http://schemas.openxmlformats.org/officeDocument/2006/relationships/image" Target="media/image3.tiff"/><Relationship Id="rId19" Type="http://schemas.openxmlformats.org/officeDocument/2006/relationships/image" Target="media/image12.tiff"/><Relationship Id="rId4" Type="http://schemas.openxmlformats.org/officeDocument/2006/relationships/settings" Target="settings.xml"/><Relationship Id="rId9" Type="http://schemas.openxmlformats.org/officeDocument/2006/relationships/image" Target="media/image2.tiff"/><Relationship Id="rId14" Type="http://schemas.openxmlformats.org/officeDocument/2006/relationships/image" Target="media/image7.tiff"/><Relationship Id="rId22" Type="http://schemas.openxmlformats.org/officeDocument/2006/relationships/image" Target="media/image15.tiff"/><Relationship Id="rId27" Type="http://schemas.openxmlformats.org/officeDocument/2006/relationships/image" Target="media/image20.tiff"/><Relationship Id="rId30" Type="http://schemas.openxmlformats.org/officeDocument/2006/relationships/theme" Target="theme/theme1.xml"/></Relationships>
</file>

<file path=word/_rels/footnotes.xml.rels><?xml version="1.0" encoding="UTF-8" standalone="yes"?>
<Relationships xmlns="http://schemas.openxmlformats.org/package/2006/relationships"><Relationship Id="rId3" Type="http://schemas.openxmlformats.org/officeDocument/2006/relationships/hyperlink" Target="https://www.rbi.org.in/" TargetMode="External"/><Relationship Id="rId2" Type="http://schemas.openxmlformats.org/officeDocument/2006/relationships/hyperlink" Target="https://www.orfonline.org/expert-speak/indias-oil-imports/" TargetMode="External"/><Relationship Id="rId1" Type="http://schemas.openxmlformats.org/officeDocument/2006/relationships/hyperlink" Target="https://www.imf.org/external/pubs/ft/ar/2021/eng/downloads/appendix.pdf" TargetMode="External"/><Relationship Id="rId5" Type="http://schemas.openxmlformats.org/officeDocument/2006/relationships/hyperlink" Target="https://datahub.io/core/oil-prices" TargetMode="External"/><Relationship Id="rId4" Type="http://schemas.openxmlformats.org/officeDocument/2006/relationships/hyperlink" Target="https://www.federalreserve.gov/datadownload/Download.aspx?rel=H10&amp;series=3604f6e0c01fd1a3275b2de1f6547cb6&amp;filetype=csv&amp;label=include&amp;layout=seriescolumn&amp;from=04/06/2001&amp;to=10/28/2022"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65CB332-022E-F642-B115-C6D63ED0A1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5</Pages>
  <Words>1180</Words>
  <Characters>6726</Characters>
  <Application>Microsoft Office Word</Application>
  <DocSecurity>0</DocSecurity>
  <Lines>56</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Balala, Omer Bin Ahmed</dc:creator>
  <cp:keywords/>
  <dc:description/>
  <cp:lastModifiedBy>Balala, Omer Bin Ahmed</cp:lastModifiedBy>
  <cp:revision>2</cp:revision>
  <cp:lastPrinted>2022-11-23T11:28:00Z</cp:lastPrinted>
  <dcterms:created xsi:type="dcterms:W3CDTF">2024-02-12T16:27:00Z</dcterms:created>
  <dcterms:modified xsi:type="dcterms:W3CDTF">2024-02-12T16:27:00Z</dcterms:modified>
</cp:coreProperties>
</file>